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6D" w:rsidRPr="00896675" w:rsidRDefault="0067316D" w:rsidP="00E371CC">
      <w:pPr>
        <w:pStyle w:val="Titre2"/>
        <w:rPr>
          <w:sz w:val="36"/>
        </w:rPr>
      </w:pPr>
      <w:bookmarkStart w:id="0" w:name="_Toc417914822"/>
      <w:bookmarkStart w:id="1" w:name="_Toc417914823"/>
      <w:r w:rsidRPr="00896675">
        <w:t>Exploration d’un cours</w:t>
      </w:r>
      <w:bookmarkEnd w:id="0"/>
    </w:p>
    <w:p w:rsidR="0067316D" w:rsidRPr="00896675" w:rsidRDefault="0067316D" w:rsidP="00E371CC">
      <w:pPr>
        <w:jc w:val="both"/>
        <w:rPr>
          <w:sz w:val="24"/>
        </w:rPr>
      </w:pPr>
      <w:r w:rsidRPr="00896675">
        <w:rPr>
          <w:sz w:val="24"/>
        </w:rPr>
        <w:t xml:space="preserve">L’activité qui suit vise à vous familiariser avec le contenu et l’organisation d’un cours. Vous serez donc amené(e) à en découvrir la structure et les composantes, à en cerner les particularités et à dégager des liens entre les différentes rubriques. </w:t>
      </w:r>
    </w:p>
    <w:p w:rsidR="0067316D" w:rsidRPr="00896675" w:rsidRDefault="0067316D" w:rsidP="0067316D">
      <w:pPr>
        <w:jc w:val="both"/>
        <w:rPr>
          <w:sz w:val="24"/>
        </w:rPr>
      </w:pPr>
      <w:r w:rsidRPr="00896675">
        <w:rPr>
          <w:sz w:val="24"/>
        </w:rPr>
        <w:t xml:space="preserve">Parcourez le cours </w:t>
      </w:r>
      <w:r w:rsidRPr="00896675">
        <w:rPr>
          <w:i/>
          <w:sz w:val="24"/>
        </w:rPr>
        <w:t>Niveau 4 : Des propos sur des thèmes familiers</w:t>
      </w:r>
      <w:r>
        <w:rPr>
          <w:sz w:val="24"/>
        </w:rPr>
        <w:t xml:space="preserve">, disponible sur le </w:t>
      </w:r>
      <w:hyperlink r:id="rId7" w:history="1">
        <w:r w:rsidRPr="00896675">
          <w:rPr>
            <w:rStyle w:val="Lienhypertexte"/>
            <w:sz w:val="24"/>
          </w:rPr>
          <w:t>site du Ministère</w:t>
        </w:r>
      </w:hyperlink>
      <w:r>
        <w:rPr>
          <w:sz w:val="24"/>
        </w:rPr>
        <w:t xml:space="preserve">, </w:t>
      </w:r>
      <w:r w:rsidRPr="00896675">
        <w:rPr>
          <w:sz w:val="24"/>
        </w:rPr>
        <w:t xml:space="preserve">et répondez aux questions qui suivent. </w:t>
      </w:r>
    </w:p>
    <w:tbl>
      <w:tblPr>
        <w:tblStyle w:val="Grilledutableau"/>
        <w:tblW w:w="9362" w:type="dxa"/>
        <w:jc w:val="center"/>
        <w:tblLook w:val="04A0"/>
      </w:tblPr>
      <w:tblGrid>
        <w:gridCol w:w="4430"/>
        <w:gridCol w:w="4932"/>
      </w:tblGrid>
      <w:tr w:rsidR="00693DD2" w:rsidRPr="00896675" w:rsidTr="00693DD2">
        <w:trPr>
          <w:trHeight w:val="737"/>
          <w:tblHeader/>
          <w:jc w:val="center"/>
        </w:trPr>
        <w:tc>
          <w:tcPr>
            <w:tcW w:w="4430" w:type="dxa"/>
            <w:shd w:val="clear" w:color="auto" w:fill="7F7F7F" w:themeFill="text1" w:themeFillTint="80"/>
            <w:vAlign w:val="center"/>
          </w:tcPr>
          <w:bookmarkEnd w:id="1"/>
          <w:p w:rsidR="00693DD2" w:rsidRPr="00896675" w:rsidRDefault="00693DD2" w:rsidP="003659A7">
            <w:pPr>
              <w:jc w:val="center"/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</w:pPr>
            <w:r w:rsidRPr="00896675"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  <w:t>Question</w:t>
            </w:r>
          </w:p>
        </w:tc>
        <w:tc>
          <w:tcPr>
            <w:tcW w:w="4932" w:type="dxa"/>
            <w:shd w:val="clear" w:color="auto" w:fill="7F7F7F" w:themeFill="text1" w:themeFillTint="80"/>
            <w:vAlign w:val="center"/>
          </w:tcPr>
          <w:p w:rsidR="00693DD2" w:rsidRPr="00896675" w:rsidRDefault="00693DD2" w:rsidP="003659A7">
            <w:pPr>
              <w:jc w:val="center"/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</w:pPr>
            <w:r w:rsidRPr="00896675"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  <w:t>Réponse</w:t>
            </w:r>
          </w:p>
        </w:tc>
      </w:tr>
      <w:tr w:rsidR="00693DD2" w:rsidRPr="00896675" w:rsidTr="003659A7">
        <w:trPr>
          <w:trHeight w:val="4325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319" w:hanging="319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>Qu’est-ce qu’un domaine général de formation (DGF)? Quels sont les DGF ciblés dans ce cours?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Ils représentent les six domaines de vie de l’apprenant qui serviront de cadre aux situations de communication qu’il est amené à vivre. </w:t>
            </w:r>
          </w:p>
          <w:p w:rsidR="00693DD2" w:rsidRPr="00896675" w:rsidRDefault="00693DD2" w:rsidP="003659A7">
            <w:pPr>
              <w:rPr>
                <w:sz w:val="24"/>
              </w:rPr>
            </w:pP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Les six domaines généraux de formation sont ciblés dans ce cours : </w:t>
            </w:r>
            <w:r w:rsidRPr="00896675">
              <w:rPr>
                <w:i/>
                <w:sz w:val="24"/>
              </w:rPr>
              <w:t>Santé et bien-être</w:t>
            </w:r>
            <w:r w:rsidRPr="00896675">
              <w:rPr>
                <w:sz w:val="24"/>
              </w:rPr>
              <w:t xml:space="preserve">, </w:t>
            </w:r>
            <w:r w:rsidRPr="00896675">
              <w:rPr>
                <w:i/>
                <w:sz w:val="24"/>
              </w:rPr>
              <w:t>Éducation et monde du travail</w:t>
            </w:r>
            <w:r w:rsidRPr="00896675">
              <w:rPr>
                <w:sz w:val="24"/>
              </w:rPr>
              <w:t xml:space="preserve">, </w:t>
            </w:r>
            <w:r w:rsidRPr="00896675">
              <w:rPr>
                <w:i/>
                <w:sz w:val="24"/>
              </w:rPr>
              <w:t>Culture et médias</w:t>
            </w:r>
            <w:r w:rsidRPr="00896675">
              <w:rPr>
                <w:sz w:val="24"/>
              </w:rPr>
              <w:t xml:space="preserve">, </w:t>
            </w:r>
            <w:r w:rsidRPr="00896675">
              <w:rPr>
                <w:i/>
                <w:sz w:val="24"/>
              </w:rPr>
              <w:t>Habitation et déplacement</w:t>
            </w:r>
            <w:r w:rsidRPr="00896675">
              <w:rPr>
                <w:sz w:val="24"/>
              </w:rPr>
              <w:t xml:space="preserve">, </w:t>
            </w:r>
            <w:r w:rsidRPr="00896675">
              <w:rPr>
                <w:i/>
                <w:sz w:val="24"/>
              </w:rPr>
              <w:t>Vie personnelle et citoyenneté</w:t>
            </w:r>
            <w:r w:rsidRPr="00896675">
              <w:rPr>
                <w:sz w:val="24"/>
              </w:rPr>
              <w:t xml:space="preserve"> et </w:t>
            </w:r>
            <w:r w:rsidRPr="00896675">
              <w:rPr>
                <w:i/>
                <w:sz w:val="24"/>
              </w:rPr>
              <w:t>Consommation et environnement</w:t>
            </w:r>
            <w:r w:rsidRPr="00896675">
              <w:rPr>
                <w:sz w:val="24"/>
              </w:rPr>
              <w:t xml:space="preserve"> (p. 109).</w:t>
            </w:r>
          </w:p>
        </w:tc>
      </w:tr>
      <w:tr w:rsidR="00693DD2" w:rsidRPr="00896675" w:rsidTr="003659A7">
        <w:trPr>
          <w:trHeight w:val="3173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 xml:space="preserve">À la page 116, dans la catégorie Grammaire de la phrase, apparaît le savoir « Reconnaître, dans une phrase emphatique, une </w:t>
            </w:r>
            <w:r w:rsidRPr="00896675">
              <w:rPr>
                <w:rFonts w:ascii="Arial" w:hAnsi="Arial" w:cs="Arial"/>
                <w:b/>
                <w:sz w:val="24"/>
              </w:rPr>
              <w:t>mise en relief par</w:t>
            </w:r>
            <w:r w:rsidRPr="00896675">
              <w:rPr>
                <w:rFonts w:ascii="Arial" w:hAnsi="Arial" w:cs="Arial"/>
                <w:sz w:val="24"/>
              </w:rPr>
              <w:t xml:space="preserve"> </w:t>
            </w:r>
            <w:r w:rsidRPr="00896675">
              <w:rPr>
                <w:rFonts w:ascii="Arial" w:hAnsi="Arial" w:cs="Arial"/>
                <w:b/>
                <w:sz w:val="24"/>
              </w:rPr>
              <w:t>pseudo-clivage</w:t>
            </w:r>
            <w:r w:rsidRPr="00896675">
              <w:rPr>
                <w:rFonts w:ascii="Arial" w:hAnsi="Arial" w:cs="Arial"/>
                <w:sz w:val="24"/>
              </w:rPr>
              <w:t xml:space="preserve"> avec la structure </w:t>
            </w:r>
            <w:r w:rsidRPr="00896675">
              <w:rPr>
                <w:rFonts w:ascii="Arial" w:hAnsi="Arial" w:cs="Arial"/>
                <w:i/>
                <w:sz w:val="24"/>
              </w:rPr>
              <w:t>Ce/celui que…, c’est…</w:t>
            </w:r>
            <w:r w:rsidRPr="00896675">
              <w:rPr>
                <w:rFonts w:ascii="Arial" w:hAnsi="Arial" w:cs="Arial"/>
                <w:sz w:val="24"/>
              </w:rPr>
              <w:t> ». Vous ne savez pas de quoi il s’agit. Où dans le programme pouvez-vous en apprendre davantage à ce sujet?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Dans le glossaire présenté à la fin du programme. </w:t>
            </w:r>
          </w:p>
          <w:p w:rsidR="00693DD2" w:rsidRPr="00896675" w:rsidRDefault="00693DD2" w:rsidP="003659A7">
            <w:pPr>
              <w:rPr>
                <w:sz w:val="24"/>
              </w:rPr>
            </w:pP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t>(Les exemples présentés dans le tableau des savoirs peuvent également vous éclairer sur le sens de l’énoncé).</w:t>
            </w:r>
          </w:p>
        </w:tc>
      </w:tr>
      <w:tr w:rsidR="00693DD2" w:rsidRPr="00896675" w:rsidTr="003659A7">
        <w:trPr>
          <w:trHeight w:val="1831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lastRenderedPageBreak/>
              <w:t xml:space="preserve">Que permet la </w:t>
            </w:r>
            <w:r w:rsidRPr="00896675">
              <w:rPr>
                <w:rFonts w:ascii="Arial" w:hAnsi="Arial" w:cs="Arial"/>
                <w:i/>
                <w:sz w:val="24"/>
              </w:rPr>
              <w:t>Présentation du cours</w:t>
            </w:r>
            <w:r w:rsidRPr="00896675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De donner un aperçu de ce que l’adulte sera amené à apprendre, faire, etc. pendant le cours (et de donner un aperçu de ce qu’il sera en mesure de faire à la fin du cours). </w:t>
            </w:r>
          </w:p>
        </w:tc>
      </w:tr>
      <w:tr w:rsidR="00693DD2" w:rsidRPr="00896675" w:rsidTr="003659A7">
        <w:trPr>
          <w:trHeight w:val="3956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>À quelle(s) compétence(s) est liée l’intention de communication « Échanger avec son locateur ou son concierge pour expliquer un problème dans le but de le résoudre »? À quel vocabulaire cette intention de communication fait-elle appel?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L’intention de communication sollicite les compétences de </w:t>
            </w:r>
            <w:r w:rsidRPr="00896675">
              <w:rPr>
                <w:b/>
                <w:sz w:val="24"/>
              </w:rPr>
              <w:t>compréhension orale</w:t>
            </w:r>
            <w:r w:rsidRPr="00896675">
              <w:rPr>
                <w:sz w:val="24"/>
              </w:rPr>
              <w:t xml:space="preserve"> et de </w:t>
            </w:r>
            <w:r w:rsidRPr="00896675">
              <w:rPr>
                <w:b/>
                <w:sz w:val="24"/>
              </w:rPr>
              <w:t>production orale</w:t>
            </w:r>
            <w:r w:rsidRPr="00896675">
              <w:rPr>
                <w:sz w:val="24"/>
              </w:rPr>
              <w:t>. (p. 111)</w:t>
            </w:r>
          </w:p>
          <w:p w:rsidR="00693DD2" w:rsidRPr="00896675" w:rsidRDefault="00693DD2" w:rsidP="003659A7">
            <w:pPr>
              <w:rPr>
                <w:sz w:val="24"/>
              </w:rPr>
            </w:pP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Le lexique présenté à la page 124 fait entre autres référence aux problèmes domestiques,  et inclut les domaines de la plomberie, de l’électricité et de la menuiserie. </w:t>
            </w:r>
          </w:p>
          <w:p w:rsidR="00693DD2" w:rsidRPr="00896675" w:rsidRDefault="00693DD2" w:rsidP="003659A7">
            <w:pPr>
              <w:rPr>
                <w:sz w:val="24"/>
              </w:rPr>
            </w:pP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t>(Le vocabulaire présenté dans la catégorie Lexique n’est pas exhaustif; il est présenté à titre indicatif et peut être adapté aux besoins de la classe.)</w:t>
            </w:r>
          </w:p>
        </w:tc>
      </w:tr>
      <w:tr w:rsidR="00693DD2" w:rsidRPr="00896675" w:rsidTr="003659A7">
        <w:trPr>
          <w:trHeight w:val="2402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 w:rsidRPr="00896675">
              <w:rPr>
                <w:rFonts w:ascii="Arial" w:hAnsi="Arial" w:cs="Arial"/>
                <w:sz w:val="24"/>
              </w:rPr>
              <w:t>Quels sont les trois types de stratégies proposées dans le cours? Que vise l’enseignement/apprentissage de ces stratégies?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Les trois types de stratégies sont : </w:t>
            </w:r>
            <w:proofErr w:type="spellStart"/>
            <w:proofErr w:type="gramStart"/>
            <w:r w:rsidRPr="00896675">
              <w:rPr>
                <w:sz w:val="24"/>
              </w:rPr>
              <w:t>socioaffectives</w:t>
            </w:r>
            <w:proofErr w:type="spellEnd"/>
            <w:proofErr w:type="gramEnd"/>
            <w:r w:rsidRPr="00896675">
              <w:rPr>
                <w:sz w:val="24"/>
              </w:rPr>
              <w:t xml:space="preserve">, de communication orale et de communication écrite. </w:t>
            </w: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br/>
              <w:t xml:space="preserve">Les stratégies visent à favoriser l’apprentissage de la langue et à accroître le degré d’autonomie de l’adulte (p. 128). </w:t>
            </w:r>
          </w:p>
        </w:tc>
      </w:tr>
      <w:tr w:rsidR="00693DD2" w:rsidRPr="00896675" w:rsidTr="003659A7">
        <w:trPr>
          <w:trHeight w:val="3152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 xml:space="preserve">Vous préparez une situation d’apprentissage qui cible des intentions de communication liées à la situation </w:t>
            </w:r>
            <w:r w:rsidRPr="00896675">
              <w:rPr>
                <w:rFonts w:ascii="Arial" w:hAnsi="Arial" w:cs="Arial"/>
                <w:i/>
                <w:sz w:val="24"/>
              </w:rPr>
              <w:t>Consultation d’un professionnel de la santé</w:t>
            </w:r>
            <w:r w:rsidRPr="00896675">
              <w:rPr>
                <w:rFonts w:ascii="Arial" w:hAnsi="Arial" w:cs="Arial"/>
                <w:sz w:val="24"/>
              </w:rPr>
              <w:t xml:space="preserve"> (p. 110). Quelles sont les suggestions de repères culturels à aborder en lien avec cette situation?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>La carte d’assurance maladie et la carte d’hôpital; réseau de la santé : médecins de famille, cliniques sans rendez-vous, CLSC, etc. (p. 127).</w:t>
            </w:r>
          </w:p>
          <w:p w:rsidR="00693DD2" w:rsidRPr="00896675" w:rsidRDefault="00693DD2" w:rsidP="003659A7">
            <w:pPr>
              <w:rPr>
                <w:sz w:val="24"/>
              </w:rPr>
            </w:pP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t>(Les repères culturels sont présentés à titre d’exemple</w:t>
            </w:r>
            <w:bookmarkStart w:id="2" w:name="_GoBack"/>
            <w:bookmarkEnd w:id="2"/>
            <w:r w:rsidRPr="00896675">
              <w:t>, mais les repères culturels font partie de la compétence. Par conséquent, des repères culturels DOIVENT faire partie de la situation d’enseignement/apprentissage.)</w:t>
            </w:r>
          </w:p>
        </w:tc>
      </w:tr>
      <w:tr w:rsidR="00693DD2" w:rsidRPr="00896675" w:rsidTr="003659A7">
        <w:trPr>
          <w:trHeight w:val="3109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lastRenderedPageBreak/>
              <w:t xml:space="preserve">À quelle compétence le savoir suivant est-il associé : « Reconnaître la forme impersonnelle il est + </w:t>
            </w:r>
            <w:proofErr w:type="spellStart"/>
            <w:r w:rsidRPr="00896675">
              <w:rPr>
                <w:rFonts w:ascii="Arial" w:hAnsi="Arial" w:cs="Arial"/>
                <w:sz w:val="24"/>
              </w:rPr>
              <w:t>Adj</w:t>
            </w:r>
            <w:proofErr w:type="spellEnd"/>
            <w:r w:rsidRPr="00896675">
              <w:rPr>
                <w:rFonts w:ascii="Arial" w:hAnsi="Arial" w:cs="Arial"/>
                <w:sz w:val="24"/>
              </w:rPr>
              <w:t xml:space="preserve"> + subordonnée </w:t>
            </w:r>
            <w:r w:rsidRPr="00896675">
              <w:rPr>
                <w:rFonts w:ascii="Arial" w:hAnsi="Arial" w:cs="Arial"/>
                <w:b/>
                <w:sz w:val="24"/>
                <w:vertAlign w:val="superscript"/>
              </w:rPr>
              <w:t>E</w:t>
            </w:r>
            <w:r w:rsidRPr="00896675">
              <w:rPr>
                <w:rFonts w:ascii="Arial" w:hAnsi="Arial" w:cs="Arial"/>
                <w:sz w:val="24"/>
              </w:rPr>
              <w:t> »? (p.116, en bas de la page) Qu’est-ce qui vous l’indique?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Ce savoir est associé à la compétence de compréhension écrite : le verbe reconnaître fait référence à la compétence de compréhension et l’exposant E signale que ce savoir est à enseigner/apprendre uniquement à l’écrit. </w:t>
            </w:r>
          </w:p>
          <w:p w:rsidR="00693DD2" w:rsidRPr="00896675" w:rsidRDefault="00693DD2" w:rsidP="003659A7">
            <w:pPr>
              <w:rPr>
                <w:sz w:val="24"/>
              </w:rPr>
            </w:pP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>Les paragraphes précédant le tableau des savoirs permettent d’en éclairer la lecture (p. 114).</w:t>
            </w:r>
          </w:p>
        </w:tc>
      </w:tr>
      <w:tr w:rsidR="00693DD2" w:rsidRPr="00896675" w:rsidTr="003659A7">
        <w:trPr>
          <w:trHeight w:val="3136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 xml:space="preserve">Quel est le critère d’évaluation de la production orale pour ce cours? Où pouvez-vous trouver plus de détails sur le sens de ce critère? </w:t>
            </w:r>
          </w:p>
        </w:tc>
        <w:tc>
          <w:tcPr>
            <w:tcW w:w="4932" w:type="dxa"/>
            <w:vAlign w:val="center"/>
          </w:tcPr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En production orale, le critère d’évaluation est : </w:t>
            </w:r>
            <w:r w:rsidRPr="00896675">
              <w:rPr>
                <w:i/>
                <w:sz w:val="24"/>
              </w:rPr>
              <w:t xml:space="preserve">Communication orale appropriée de propos dans un message oral se rapportant à des thèmes familiers : besoins courants, loisirs ou centres d’intérêt </w:t>
            </w:r>
            <w:r w:rsidRPr="00896675">
              <w:rPr>
                <w:sz w:val="24"/>
              </w:rPr>
              <w:t>(p. 133).</w:t>
            </w:r>
          </w:p>
          <w:p w:rsidR="00693DD2" w:rsidRPr="00896675" w:rsidRDefault="00693DD2" w:rsidP="003659A7">
            <w:pPr>
              <w:rPr>
                <w:i/>
                <w:sz w:val="24"/>
              </w:rPr>
            </w:pPr>
          </w:p>
          <w:p w:rsidR="00693DD2" w:rsidRPr="00896675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 xml:space="preserve">Les attentes de fin de cours donnent des précisions sur les critères d’évaluation qui eux, décrivent globalement ce qui est attendu de l’adulte au terme du cours. </w:t>
            </w:r>
          </w:p>
        </w:tc>
      </w:tr>
      <w:tr w:rsidR="00693DD2" w:rsidTr="003659A7">
        <w:trPr>
          <w:trHeight w:val="2037"/>
          <w:jc w:val="center"/>
        </w:trPr>
        <w:tc>
          <w:tcPr>
            <w:tcW w:w="4430" w:type="dxa"/>
            <w:vAlign w:val="center"/>
          </w:tcPr>
          <w:p w:rsidR="00693DD2" w:rsidRPr="00896675" w:rsidRDefault="00693DD2" w:rsidP="00693DD2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</w:rPr>
              <w:br w:type="page"/>
            </w:r>
            <w:r w:rsidRPr="00896675">
              <w:rPr>
                <w:rFonts w:ascii="Arial" w:hAnsi="Arial" w:cs="Arial"/>
                <w:sz w:val="24"/>
              </w:rPr>
              <w:t>Vous vous apprêtez à planifier une activité d’apprentissage. À la lecture du cours, quels éléments doivent être intégrés pour concevoir une activité complète, fidèle à une approche par compétence?</w:t>
            </w:r>
          </w:p>
        </w:tc>
        <w:tc>
          <w:tcPr>
            <w:tcW w:w="4932" w:type="dxa"/>
            <w:vAlign w:val="center"/>
          </w:tcPr>
          <w:p w:rsidR="00693DD2" w:rsidRDefault="00693DD2" w:rsidP="003659A7">
            <w:pPr>
              <w:rPr>
                <w:sz w:val="24"/>
              </w:rPr>
            </w:pPr>
            <w:r w:rsidRPr="00896675">
              <w:rPr>
                <w:sz w:val="24"/>
              </w:rPr>
              <w:t>Une activité d’apprentissage devrait faire appel, de façon intégrée, aux éléments suivants : Compétence(s) ciblée(s), situation(s) et intention(s) de communication, savoirs, repères culturels, stratégies.</w:t>
            </w:r>
            <w:r>
              <w:rPr>
                <w:sz w:val="24"/>
              </w:rPr>
              <w:t xml:space="preserve"> </w:t>
            </w:r>
          </w:p>
        </w:tc>
      </w:tr>
    </w:tbl>
    <w:p w:rsidR="00693DD2" w:rsidRDefault="00693DD2" w:rsidP="00693DD2"/>
    <w:p w:rsidR="00693DD2" w:rsidRDefault="00693DD2" w:rsidP="00693DD2"/>
    <w:p w:rsidR="0009470A" w:rsidRDefault="0009470A"/>
    <w:sectPr w:rsidR="0009470A" w:rsidSect="00693DD2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A7" w:rsidRDefault="003659A7" w:rsidP="00693DD2">
      <w:pPr>
        <w:spacing w:after="0" w:line="240" w:lineRule="auto"/>
      </w:pPr>
      <w:r>
        <w:separator/>
      </w:r>
    </w:p>
  </w:endnote>
  <w:endnote w:type="continuationSeparator" w:id="0">
    <w:p w:rsidR="003659A7" w:rsidRDefault="003659A7" w:rsidP="006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713884"/>
      <w:docPartObj>
        <w:docPartGallery w:val="Page Numbers (Bottom of Page)"/>
        <w:docPartUnique/>
      </w:docPartObj>
    </w:sdtPr>
    <w:sdtContent>
      <w:p w:rsidR="003659A7" w:rsidRDefault="003659A7" w:rsidP="00693DD2">
        <w:pPr>
          <w:pStyle w:val="Pieddepage"/>
          <w:tabs>
            <w:tab w:val="clear" w:pos="4320"/>
            <w:tab w:val="clear" w:pos="8640"/>
          </w:tabs>
          <w:jc w:val="center"/>
        </w:pPr>
        <w:r>
          <w:t>Exploration d’un cours (Corrigé)</w:t>
        </w:r>
      </w:p>
      <w:p w:rsidR="003659A7" w:rsidRDefault="003659A7" w:rsidP="00693DD2">
        <w:pPr>
          <w:pStyle w:val="Pieddepage"/>
          <w:tabs>
            <w:tab w:val="clear" w:pos="4320"/>
            <w:tab w:val="clear" w:pos="8640"/>
          </w:tabs>
        </w:pPr>
        <w:r>
          <w:ptab w:relativeTo="margin" w:alignment="center" w:leader="none"/>
        </w:r>
        <w:r>
          <w:t xml:space="preserve">- </w:t>
        </w:r>
        <w:r w:rsidR="007D20E1">
          <w:fldChar w:fldCharType="begin"/>
        </w:r>
        <w:r>
          <w:instrText>PAGE   \* MERGEFORMAT</w:instrText>
        </w:r>
        <w:r w:rsidR="007D20E1">
          <w:fldChar w:fldCharType="separate"/>
        </w:r>
        <w:r w:rsidR="00E90E69" w:rsidRPr="00E90E69">
          <w:rPr>
            <w:noProof/>
            <w:lang w:val="fr-FR"/>
          </w:rPr>
          <w:t>1</w:t>
        </w:r>
        <w:r w:rsidR="007D20E1">
          <w:fldChar w:fldCharType="end"/>
        </w:r>
        <w:r>
          <w:t xml:space="preserve"> -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A7" w:rsidRDefault="003659A7" w:rsidP="00693DD2">
      <w:pPr>
        <w:spacing w:after="0" w:line="240" w:lineRule="auto"/>
      </w:pPr>
      <w:r>
        <w:separator/>
      </w:r>
    </w:p>
  </w:footnote>
  <w:footnote w:type="continuationSeparator" w:id="0">
    <w:p w:rsidR="003659A7" w:rsidRDefault="003659A7" w:rsidP="006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6D" w:rsidRPr="00CE0F8E" w:rsidRDefault="0067316D" w:rsidP="00CE0F8E">
    <w:pPr>
      <w:pStyle w:val="En-tte"/>
      <w:jc w:val="right"/>
      <w:rPr>
        <w:sz w:val="28"/>
        <w:szCs w:val="28"/>
      </w:rPr>
    </w:pPr>
    <w:r w:rsidRPr="00CE0F8E">
      <w:rPr>
        <w:sz w:val="28"/>
        <w:szCs w:val="28"/>
      </w:rPr>
      <w:t>CORRIGÉ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6B2"/>
    <w:multiLevelType w:val="hybridMultilevel"/>
    <w:tmpl w:val="57E0BE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revisionView w:markup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D2"/>
    <w:rsid w:val="00094122"/>
    <w:rsid w:val="0009470A"/>
    <w:rsid w:val="002F5668"/>
    <w:rsid w:val="003659A7"/>
    <w:rsid w:val="004F08B4"/>
    <w:rsid w:val="0067316D"/>
    <w:rsid w:val="00693DD2"/>
    <w:rsid w:val="007D20E1"/>
    <w:rsid w:val="00854B2B"/>
    <w:rsid w:val="00A5399A"/>
    <w:rsid w:val="00AD67C7"/>
    <w:rsid w:val="00BC0772"/>
    <w:rsid w:val="00CE0F8E"/>
    <w:rsid w:val="00D414FE"/>
    <w:rsid w:val="00E90E69"/>
    <w:rsid w:val="00E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D2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93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93DD2"/>
    <w:pPr>
      <w:spacing w:after="240"/>
      <w:jc w:val="center"/>
      <w:outlineLvl w:val="1"/>
    </w:pPr>
    <w:rPr>
      <w:rFonts w:ascii="Arial" w:hAnsi="Arial" w:cs="Arial"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93DD2"/>
    <w:rPr>
      <w:rFonts w:ascii="Arial" w:eastAsiaTheme="majorEastAsia" w:hAnsi="Arial" w:cs="Arial"/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693DD2"/>
    <w:pPr>
      <w:ind w:left="720"/>
      <w:contextualSpacing/>
    </w:pPr>
    <w:rPr>
      <w:rFonts w:asciiTheme="minorHAnsi" w:hAnsiTheme="minorHAnsi"/>
    </w:rPr>
  </w:style>
  <w:style w:type="table" w:styleId="Grilledutableau">
    <w:name w:val="Table Grid"/>
    <w:basedOn w:val="TableauNormal"/>
    <w:uiPriority w:val="59"/>
    <w:rsid w:val="0069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93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93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DD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693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DD2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73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qc.ca/references/publications/resultats-de-la-recherche/detail/article/formation-generale-des-adultes-programme-detudes-francis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2016-01-12T16:23:00Z</dcterms:created>
  <dcterms:modified xsi:type="dcterms:W3CDTF">2016-01-12T16:23:00Z</dcterms:modified>
</cp:coreProperties>
</file>