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9D0A1" w14:textId="7C3BF201" w:rsidR="00CF088C" w:rsidRPr="00CF088C" w:rsidRDefault="00CF088C" w:rsidP="00CF088C">
      <w:pPr>
        <w:pStyle w:val="Titre2"/>
        <w:rPr>
          <w:rFonts w:eastAsia="Calibri"/>
          <w:sz w:val="36"/>
        </w:rPr>
      </w:pPr>
      <w:bookmarkStart w:id="0" w:name="_Toc417914832"/>
      <w:r w:rsidRPr="00CF088C">
        <w:rPr>
          <w:rFonts w:eastAsia="Calibri"/>
        </w:rPr>
        <w:t xml:space="preserve">Exploration d’une </w:t>
      </w:r>
      <w:r>
        <w:rPr>
          <w:rFonts w:eastAsia="Calibri"/>
        </w:rPr>
        <w:t>définition</w:t>
      </w:r>
      <w:bookmarkStart w:id="1" w:name="_GoBack"/>
      <w:bookmarkEnd w:id="1"/>
      <w:r>
        <w:rPr>
          <w:rFonts w:eastAsia="Calibri"/>
        </w:rPr>
        <w:t xml:space="preserve"> du domaine d’évaluation (</w:t>
      </w:r>
      <w:r w:rsidRPr="00CF088C">
        <w:rPr>
          <w:rFonts w:eastAsia="Calibri"/>
        </w:rPr>
        <w:t>DDE</w:t>
      </w:r>
      <w:bookmarkEnd w:id="0"/>
      <w:r>
        <w:rPr>
          <w:rFonts w:eastAsia="Calibri"/>
        </w:rPr>
        <w:t>)</w:t>
      </w:r>
      <w:r w:rsidRPr="00CF088C">
        <w:rPr>
          <w:rFonts w:eastAsia="Calibri"/>
        </w:rPr>
        <w:t xml:space="preserve"> </w:t>
      </w:r>
    </w:p>
    <w:p w14:paraId="3D058469" w14:textId="77777777" w:rsidR="00CF088C" w:rsidRPr="00CF088C" w:rsidRDefault="00CF088C" w:rsidP="00CF088C">
      <w:pPr>
        <w:spacing w:after="0" w:line="240" w:lineRule="auto"/>
        <w:jc w:val="both"/>
        <w:rPr>
          <w:rFonts w:eastAsia="Calibri" w:cs="Arial"/>
          <w:sz w:val="28"/>
        </w:rPr>
      </w:pPr>
      <w:r w:rsidRPr="00CF088C">
        <w:rPr>
          <w:rFonts w:eastAsia="Calibri" w:cs="Arial"/>
          <w:sz w:val="28"/>
        </w:rPr>
        <w:t>L’activité qui suit vise à vous familiariser avec le contenu et l’organisation de la définition du domaine d’évaluation. Vous serez donc amené(e) à en découvrir la structure et les composantes et à en cerner les particularités.</w:t>
      </w:r>
    </w:p>
    <w:p w14:paraId="17B57468" w14:textId="77777777" w:rsidR="00CF088C" w:rsidRPr="00CF088C" w:rsidRDefault="00CF088C" w:rsidP="00CF088C">
      <w:pPr>
        <w:spacing w:after="0" w:line="240" w:lineRule="auto"/>
        <w:jc w:val="both"/>
        <w:rPr>
          <w:rFonts w:eastAsia="Calibri" w:cs="Arial"/>
          <w:sz w:val="28"/>
        </w:rPr>
      </w:pPr>
    </w:p>
    <w:p w14:paraId="273F7F77" w14:textId="77777777" w:rsidR="00CF088C" w:rsidRPr="00CF088C" w:rsidRDefault="00CF088C" w:rsidP="00CF088C">
      <w:pPr>
        <w:spacing w:after="0"/>
        <w:jc w:val="both"/>
        <w:rPr>
          <w:rFonts w:eastAsia="Calibri" w:cs="Arial"/>
          <w:sz w:val="28"/>
        </w:rPr>
      </w:pPr>
      <w:r>
        <w:rPr>
          <w:rFonts w:eastAsia="Calibri" w:cs="Arial"/>
          <w:sz w:val="28"/>
        </w:rPr>
        <w:t xml:space="preserve">Parcourez la DDE </w:t>
      </w:r>
      <w:r w:rsidRPr="00CF088C">
        <w:rPr>
          <w:rFonts w:eastAsia="Calibri" w:cs="Arial"/>
          <w:sz w:val="28"/>
        </w:rPr>
        <w:t xml:space="preserve">du </w:t>
      </w:r>
      <w:r w:rsidRPr="00CF088C">
        <w:rPr>
          <w:rFonts w:eastAsia="Calibri" w:cs="Arial"/>
          <w:i/>
          <w:sz w:val="28"/>
        </w:rPr>
        <w:t>Niveau 4 : Des propos sur des thèmes familiers</w:t>
      </w:r>
      <w:r w:rsidRPr="00CF088C">
        <w:rPr>
          <w:rFonts w:eastAsia="Calibri" w:cs="Arial"/>
          <w:sz w:val="28"/>
        </w:rPr>
        <w:t xml:space="preserve"> </w:t>
      </w:r>
      <w:r>
        <w:rPr>
          <w:rFonts w:eastAsia="Calibri" w:cs="Arial"/>
          <w:sz w:val="28"/>
        </w:rPr>
        <w:t xml:space="preserve">disponible sur le </w:t>
      </w:r>
      <w:hyperlink r:id="rId8" w:history="1">
        <w:r w:rsidRPr="008F3896">
          <w:rPr>
            <w:rStyle w:val="Lienhypertexte"/>
            <w:rFonts w:eastAsia="Calibri" w:cs="Arial"/>
            <w:sz w:val="28"/>
          </w:rPr>
          <w:t>site du Ministère</w:t>
        </w:r>
      </w:hyperlink>
      <w:r>
        <w:rPr>
          <w:rFonts w:eastAsia="Calibri" w:cs="Arial"/>
          <w:sz w:val="28"/>
        </w:rPr>
        <w:t xml:space="preserve"> </w:t>
      </w:r>
      <w:r w:rsidRPr="00CF088C">
        <w:rPr>
          <w:rFonts w:eastAsia="Calibri" w:cs="Arial"/>
          <w:sz w:val="28"/>
        </w:rPr>
        <w:t xml:space="preserve">et répondez aux questions qui suivent. </w:t>
      </w:r>
    </w:p>
    <w:p w14:paraId="4A09CF39" w14:textId="77777777" w:rsidR="00CF088C" w:rsidRPr="00CF088C" w:rsidRDefault="00CF088C" w:rsidP="00CF088C">
      <w:pPr>
        <w:spacing w:after="0" w:line="240" w:lineRule="auto"/>
        <w:jc w:val="both"/>
        <w:rPr>
          <w:rFonts w:eastAsia="Calibri" w:cs="Arial"/>
          <w:b/>
          <w:sz w:val="32"/>
        </w:rPr>
      </w:pPr>
    </w:p>
    <w:tbl>
      <w:tblPr>
        <w:tblW w:w="90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69"/>
        <w:gridCol w:w="5102"/>
      </w:tblGrid>
      <w:tr w:rsidR="005C0895" w:rsidRPr="00223008" w14:paraId="73FE7E52" w14:textId="77777777" w:rsidTr="00D75DF0">
        <w:trPr>
          <w:trHeight w:val="848"/>
          <w:tblHeader/>
          <w:jc w:val="center"/>
        </w:trPr>
        <w:tc>
          <w:tcPr>
            <w:tcW w:w="3969" w:type="dxa"/>
            <w:shd w:val="clear" w:color="auto" w:fill="7F7F7F" w:themeFill="text1" w:themeFillTint="80"/>
            <w:vAlign w:val="center"/>
          </w:tcPr>
          <w:p w14:paraId="755F931F" w14:textId="77777777" w:rsidR="005C0895" w:rsidRPr="00223008" w:rsidRDefault="005C0895" w:rsidP="00D75DF0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</w:rPr>
            </w:pPr>
            <w:r w:rsidRPr="00223008">
              <w:rPr>
                <w:rFonts w:eastAsia="Batang" w:cs="Arial"/>
                <w:b/>
                <w:smallCaps/>
                <w:sz w:val="24"/>
              </w:rPr>
              <w:t>ÉLÉMENTS À REPÉRER</w:t>
            </w:r>
            <w:r w:rsidRPr="00223008">
              <w:rPr>
                <w:rFonts w:eastAsia="Calibri" w:cs="Arial"/>
                <w:b/>
                <w:sz w:val="24"/>
              </w:rPr>
              <w:t xml:space="preserve"> </w:t>
            </w:r>
          </w:p>
        </w:tc>
        <w:tc>
          <w:tcPr>
            <w:tcW w:w="5102" w:type="dxa"/>
            <w:shd w:val="clear" w:color="auto" w:fill="7F7F7F" w:themeFill="text1" w:themeFillTint="80"/>
            <w:vAlign w:val="center"/>
          </w:tcPr>
          <w:p w14:paraId="6E9C0F29" w14:textId="77777777" w:rsidR="005C0895" w:rsidRPr="00223008" w:rsidRDefault="005C0895" w:rsidP="00D75DF0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</w:rPr>
            </w:pPr>
            <w:r w:rsidRPr="00223008">
              <w:rPr>
                <w:rFonts w:eastAsia="Batang" w:cs="Arial"/>
                <w:b/>
                <w:smallCaps/>
                <w:sz w:val="24"/>
              </w:rPr>
              <w:t>RÉPONSES</w:t>
            </w:r>
          </w:p>
        </w:tc>
      </w:tr>
      <w:tr w:rsidR="005C0895" w:rsidRPr="00223008" w14:paraId="0952401A" w14:textId="77777777" w:rsidTr="005C0895">
        <w:trPr>
          <w:trHeight w:val="1682"/>
          <w:jc w:val="center"/>
        </w:trPr>
        <w:tc>
          <w:tcPr>
            <w:tcW w:w="3969" w:type="dxa"/>
            <w:vAlign w:val="center"/>
          </w:tcPr>
          <w:p w14:paraId="0540F552" w14:textId="77777777" w:rsidR="005C0895" w:rsidRPr="00223008" w:rsidRDefault="005C0895" w:rsidP="005C089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6" w:hanging="316"/>
              <w:rPr>
                <w:rFonts w:ascii="Arial" w:eastAsia="Calibri" w:hAnsi="Arial" w:cs="Arial"/>
                <w:szCs w:val="24"/>
              </w:rPr>
            </w:pPr>
            <w:r w:rsidRPr="00223008">
              <w:rPr>
                <w:rFonts w:ascii="Arial" w:eastAsia="Calibri" w:hAnsi="Arial" w:cs="Arial"/>
                <w:szCs w:val="24"/>
              </w:rPr>
              <w:t xml:space="preserve">Quelle est la pondération accordée à chacune des compétences? </w:t>
            </w:r>
          </w:p>
        </w:tc>
        <w:tc>
          <w:tcPr>
            <w:tcW w:w="5102" w:type="dxa"/>
            <w:vAlign w:val="center"/>
          </w:tcPr>
          <w:p w14:paraId="28100310" w14:textId="77777777" w:rsidR="005C0895" w:rsidRPr="00223008" w:rsidRDefault="005C0895" w:rsidP="005C0895">
            <w:pPr>
              <w:pStyle w:val="Paragraphedeliste"/>
              <w:spacing w:after="0" w:line="240" w:lineRule="auto"/>
              <w:ind w:left="34"/>
              <w:contextualSpacing w:val="0"/>
              <w:rPr>
                <w:rFonts w:ascii="Arial" w:hAnsi="Arial" w:cs="Arial"/>
                <w:szCs w:val="20"/>
              </w:rPr>
            </w:pPr>
          </w:p>
        </w:tc>
      </w:tr>
      <w:tr w:rsidR="005C0895" w:rsidRPr="00223008" w14:paraId="376617D4" w14:textId="77777777" w:rsidTr="005C0895">
        <w:trPr>
          <w:trHeight w:val="2358"/>
          <w:jc w:val="center"/>
        </w:trPr>
        <w:tc>
          <w:tcPr>
            <w:tcW w:w="3969" w:type="dxa"/>
            <w:vAlign w:val="center"/>
          </w:tcPr>
          <w:p w14:paraId="3371DD45" w14:textId="77777777" w:rsidR="005C0895" w:rsidRPr="00223008" w:rsidRDefault="005C0895" w:rsidP="005C089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6" w:hanging="316"/>
              <w:rPr>
                <w:rFonts w:ascii="Arial" w:eastAsia="Calibri" w:hAnsi="Arial" w:cs="Arial"/>
                <w:szCs w:val="24"/>
              </w:rPr>
            </w:pPr>
            <w:r w:rsidRPr="00223008">
              <w:rPr>
                <w:rFonts w:ascii="Arial" w:eastAsia="Calibri" w:hAnsi="Arial" w:cs="Arial"/>
                <w:szCs w:val="24"/>
              </w:rPr>
              <w:t>Qu’est-ce qui distingue l’évaluation de la compréhension orale? Comment sont répartis les points?</w:t>
            </w:r>
          </w:p>
        </w:tc>
        <w:tc>
          <w:tcPr>
            <w:tcW w:w="5102" w:type="dxa"/>
            <w:vAlign w:val="center"/>
          </w:tcPr>
          <w:p w14:paraId="32425FE8" w14:textId="77777777" w:rsidR="005C0895" w:rsidRPr="00223008" w:rsidRDefault="005C0895" w:rsidP="005C0895">
            <w:pPr>
              <w:pStyle w:val="Paragraphedeliste"/>
              <w:spacing w:after="0" w:line="240" w:lineRule="auto"/>
              <w:ind w:left="34"/>
              <w:contextualSpacing w:val="0"/>
              <w:rPr>
                <w:rFonts w:ascii="Arial" w:hAnsi="Arial" w:cs="Arial"/>
                <w:szCs w:val="20"/>
              </w:rPr>
            </w:pPr>
          </w:p>
        </w:tc>
      </w:tr>
      <w:tr w:rsidR="005C0895" w:rsidRPr="00223008" w14:paraId="5CA24010" w14:textId="77777777" w:rsidTr="005C0895">
        <w:trPr>
          <w:trHeight w:val="1244"/>
          <w:jc w:val="center"/>
        </w:trPr>
        <w:tc>
          <w:tcPr>
            <w:tcW w:w="3969" w:type="dxa"/>
            <w:vAlign w:val="center"/>
          </w:tcPr>
          <w:p w14:paraId="62AD03F8" w14:textId="77777777" w:rsidR="005C0895" w:rsidRPr="00223008" w:rsidRDefault="005C0895" w:rsidP="005C089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6" w:hanging="316"/>
              <w:rPr>
                <w:rFonts w:ascii="Arial" w:eastAsia="Calibri" w:hAnsi="Arial" w:cs="Arial"/>
                <w:szCs w:val="24"/>
              </w:rPr>
            </w:pPr>
            <w:r w:rsidRPr="00223008">
              <w:rPr>
                <w:rFonts w:ascii="Arial" w:eastAsia="Calibri" w:hAnsi="Arial" w:cs="Arial"/>
                <w:szCs w:val="24"/>
              </w:rPr>
              <w:t>Quel est le matériel autorisé pour la partie Évaluation de la compétence « Compréhension orale »?</w:t>
            </w:r>
          </w:p>
        </w:tc>
        <w:tc>
          <w:tcPr>
            <w:tcW w:w="5102" w:type="dxa"/>
            <w:vAlign w:val="center"/>
          </w:tcPr>
          <w:p w14:paraId="227E26C6" w14:textId="77777777" w:rsidR="005C0895" w:rsidRPr="00223008" w:rsidRDefault="005C0895" w:rsidP="005C0895">
            <w:pPr>
              <w:pStyle w:val="Paragraphedeliste"/>
              <w:spacing w:after="0" w:line="240" w:lineRule="auto"/>
              <w:ind w:left="34"/>
              <w:contextualSpacing w:val="0"/>
              <w:rPr>
                <w:rFonts w:ascii="Arial" w:hAnsi="Arial" w:cs="Arial"/>
                <w:szCs w:val="20"/>
              </w:rPr>
            </w:pPr>
          </w:p>
        </w:tc>
      </w:tr>
      <w:tr w:rsidR="005C0895" w:rsidRPr="00223008" w14:paraId="5AC3611E" w14:textId="77777777" w:rsidTr="005C0895">
        <w:trPr>
          <w:trHeight w:val="1516"/>
          <w:jc w:val="center"/>
        </w:trPr>
        <w:tc>
          <w:tcPr>
            <w:tcW w:w="3969" w:type="dxa"/>
            <w:vAlign w:val="center"/>
          </w:tcPr>
          <w:p w14:paraId="57808040" w14:textId="77777777" w:rsidR="005C0895" w:rsidRPr="00223008" w:rsidRDefault="005C0895" w:rsidP="005C089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6" w:hanging="316"/>
              <w:rPr>
                <w:rFonts w:ascii="Arial" w:eastAsia="Calibri" w:hAnsi="Arial" w:cs="Arial"/>
                <w:szCs w:val="24"/>
              </w:rPr>
            </w:pPr>
            <w:r w:rsidRPr="00223008">
              <w:rPr>
                <w:rFonts w:ascii="Arial" w:eastAsia="Calibri" w:hAnsi="Arial" w:cs="Arial"/>
                <w:szCs w:val="24"/>
              </w:rPr>
              <w:t>L’adulte qui échoue la partie de production écrite et qui souhaite se prévaloir de son droit de reprise doit-il reprendre l’épreuve au complet?</w:t>
            </w:r>
          </w:p>
        </w:tc>
        <w:tc>
          <w:tcPr>
            <w:tcW w:w="5102" w:type="dxa"/>
            <w:vAlign w:val="center"/>
          </w:tcPr>
          <w:p w14:paraId="77C4FA4D" w14:textId="77777777" w:rsidR="005C0895" w:rsidRPr="00223008" w:rsidRDefault="005C0895" w:rsidP="005C0895">
            <w:pPr>
              <w:pStyle w:val="Paragraphedeliste"/>
              <w:spacing w:after="0" w:line="240" w:lineRule="auto"/>
              <w:ind w:left="34"/>
              <w:contextualSpacing w:val="0"/>
              <w:rPr>
                <w:rFonts w:ascii="Arial" w:hAnsi="Arial" w:cs="Arial"/>
                <w:szCs w:val="20"/>
              </w:rPr>
            </w:pPr>
          </w:p>
        </w:tc>
      </w:tr>
      <w:tr w:rsidR="005C0895" w:rsidRPr="00223008" w14:paraId="190B47C1" w14:textId="77777777" w:rsidTr="005C0895">
        <w:trPr>
          <w:trHeight w:val="1838"/>
          <w:jc w:val="center"/>
        </w:trPr>
        <w:tc>
          <w:tcPr>
            <w:tcW w:w="3969" w:type="dxa"/>
            <w:vAlign w:val="center"/>
          </w:tcPr>
          <w:p w14:paraId="1471B390" w14:textId="77777777" w:rsidR="005C0895" w:rsidRPr="00223008" w:rsidRDefault="005C0895" w:rsidP="005C089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6" w:hanging="316"/>
              <w:rPr>
                <w:rFonts w:ascii="Arial" w:eastAsia="Calibri" w:hAnsi="Arial" w:cs="Arial"/>
                <w:szCs w:val="24"/>
              </w:rPr>
            </w:pPr>
            <w:r w:rsidRPr="00223008">
              <w:rPr>
                <w:rFonts w:ascii="Arial" w:eastAsia="Calibri" w:hAnsi="Arial" w:cs="Arial"/>
                <w:szCs w:val="24"/>
              </w:rPr>
              <w:lastRenderedPageBreak/>
              <w:t>Le dictionnaire bilingue est-il autorisé pendant les dialogues de la partie Évaluation combinée des compétences « Compréhension orale » et « Production orale »?</w:t>
            </w:r>
          </w:p>
        </w:tc>
        <w:tc>
          <w:tcPr>
            <w:tcW w:w="5102" w:type="dxa"/>
            <w:vAlign w:val="center"/>
          </w:tcPr>
          <w:p w14:paraId="690251DC" w14:textId="77777777" w:rsidR="005C0895" w:rsidRPr="00223008" w:rsidRDefault="005C0895" w:rsidP="005C0895">
            <w:pPr>
              <w:pStyle w:val="Paragraphedeliste"/>
              <w:spacing w:after="0" w:line="240" w:lineRule="auto"/>
              <w:ind w:left="34"/>
              <w:contextualSpacing w:val="0"/>
              <w:rPr>
                <w:rFonts w:ascii="Arial" w:hAnsi="Arial" w:cs="Arial"/>
                <w:szCs w:val="20"/>
              </w:rPr>
            </w:pPr>
          </w:p>
        </w:tc>
      </w:tr>
      <w:tr w:rsidR="005C0895" w:rsidRPr="00223008" w14:paraId="06EC65BF" w14:textId="77777777" w:rsidTr="005C0895">
        <w:trPr>
          <w:trHeight w:val="1757"/>
          <w:jc w:val="center"/>
        </w:trPr>
        <w:tc>
          <w:tcPr>
            <w:tcW w:w="3969" w:type="dxa"/>
            <w:vAlign w:val="center"/>
          </w:tcPr>
          <w:p w14:paraId="60CC80FE" w14:textId="77777777" w:rsidR="005C0895" w:rsidRPr="00223008" w:rsidRDefault="005C0895" w:rsidP="005C089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6" w:hanging="316"/>
              <w:rPr>
                <w:rFonts w:ascii="Arial" w:eastAsia="Calibri" w:hAnsi="Arial" w:cs="Arial"/>
                <w:szCs w:val="24"/>
              </w:rPr>
            </w:pPr>
            <w:r w:rsidRPr="00223008">
              <w:rPr>
                <w:rFonts w:ascii="Arial" w:eastAsia="Calibri" w:hAnsi="Arial" w:cs="Arial"/>
                <w:szCs w:val="24"/>
              </w:rPr>
              <w:t xml:space="preserve">Quel est le temps alloué pour la passation de la partie Évaluation de la compétence « Compréhension écrite »? </w:t>
            </w:r>
          </w:p>
        </w:tc>
        <w:tc>
          <w:tcPr>
            <w:tcW w:w="5102" w:type="dxa"/>
            <w:vAlign w:val="center"/>
          </w:tcPr>
          <w:p w14:paraId="207D6DDC" w14:textId="77777777" w:rsidR="005C0895" w:rsidRPr="00223008" w:rsidRDefault="005C0895" w:rsidP="005C0895">
            <w:pPr>
              <w:pStyle w:val="Paragraphedeliste"/>
              <w:spacing w:after="0" w:line="240" w:lineRule="auto"/>
              <w:ind w:left="34"/>
              <w:contextualSpacing w:val="0"/>
              <w:rPr>
                <w:rFonts w:ascii="Arial" w:hAnsi="Arial" w:cs="Arial"/>
                <w:szCs w:val="20"/>
              </w:rPr>
            </w:pPr>
          </w:p>
        </w:tc>
      </w:tr>
      <w:tr w:rsidR="005C0895" w:rsidRPr="00223008" w14:paraId="71F3ABD2" w14:textId="77777777" w:rsidTr="005C0895">
        <w:trPr>
          <w:trHeight w:val="1240"/>
          <w:jc w:val="center"/>
        </w:trPr>
        <w:tc>
          <w:tcPr>
            <w:tcW w:w="3969" w:type="dxa"/>
            <w:vAlign w:val="center"/>
          </w:tcPr>
          <w:p w14:paraId="3607F52D" w14:textId="77777777" w:rsidR="005C0895" w:rsidRPr="00223008" w:rsidRDefault="005C0895" w:rsidP="005C089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6" w:hanging="316"/>
              <w:rPr>
                <w:rFonts w:ascii="Arial" w:eastAsia="Calibri" w:hAnsi="Arial" w:cs="Arial"/>
                <w:szCs w:val="24"/>
              </w:rPr>
            </w:pPr>
            <w:r w:rsidRPr="00223008">
              <w:rPr>
                <w:rFonts w:ascii="Arial" w:eastAsia="Calibri" w:hAnsi="Arial" w:cs="Arial"/>
                <w:szCs w:val="24"/>
              </w:rPr>
              <w:t>L’adulte peut-il avoir accès à la DDE?</w:t>
            </w:r>
          </w:p>
        </w:tc>
        <w:tc>
          <w:tcPr>
            <w:tcW w:w="5102" w:type="dxa"/>
            <w:vAlign w:val="center"/>
          </w:tcPr>
          <w:p w14:paraId="6A55A04D" w14:textId="77777777" w:rsidR="005C0895" w:rsidRPr="00223008" w:rsidRDefault="005C0895" w:rsidP="005C0895">
            <w:pPr>
              <w:pStyle w:val="Paragraphedeliste"/>
              <w:spacing w:after="0" w:line="240" w:lineRule="auto"/>
              <w:ind w:left="34"/>
              <w:contextualSpacing w:val="0"/>
              <w:rPr>
                <w:rFonts w:ascii="Arial" w:hAnsi="Arial" w:cs="Arial"/>
                <w:szCs w:val="20"/>
              </w:rPr>
            </w:pPr>
          </w:p>
        </w:tc>
      </w:tr>
      <w:tr w:rsidR="005C0895" w:rsidRPr="00223008" w14:paraId="14889AF1" w14:textId="77777777" w:rsidTr="005C0895">
        <w:trPr>
          <w:trHeight w:val="1399"/>
          <w:jc w:val="center"/>
        </w:trPr>
        <w:tc>
          <w:tcPr>
            <w:tcW w:w="3969" w:type="dxa"/>
            <w:vAlign w:val="center"/>
          </w:tcPr>
          <w:p w14:paraId="2C138F2D" w14:textId="77777777" w:rsidR="005C0895" w:rsidRPr="00223008" w:rsidRDefault="005C0895" w:rsidP="005C089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6" w:hanging="316"/>
              <w:rPr>
                <w:rFonts w:ascii="Arial" w:eastAsia="Calibri" w:hAnsi="Arial" w:cs="Arial"/>
                <w:szCs w:val="24"/>
              </w:rPr>
            </w:pPr>
            <w:r w:rsidRPr="00223008">
              <w:rPr>
                <w:rFonts w:ascii="Arial" w:eastAsia="Calibri" w:hAnsi="Arial" w:cs="Arial"/>
                <w:szCs w:val="24"/>
              </w:rPr>
              <w:t>Est-ce possible d’administrer plus d’une partie d’épreuve en une même séance d’évaluation?</w:t>
            </w:r>
          </w:p>
        </w:tc>
        <w:tc>
          <w:tcPr>
            <w:tcW w:w="5102" w:type="dxa"/>
            <w:vAlign w:val="center"/>
          </w:tcPr>
          <w:p w14:paraId="05687CCE" w14:textId="77777777" w:rsidR="005C0895" w:rsidRPr="00223008" w:rsidRDefault="005C0895" w:rsidP="005C0895">
            <w:pPr>
              <w:pStyle w:val="Paragraphedeliste"/>
              <w:spacing w:after="0" w:line="240" w:lineRule="auto"/>
              <w:ind w:left="34"/>
              <w:contextualSpacing w:val="0"/>
              <w:rPr>
                <w:rFonts w:ascii="Arial" w:hAnsi="Arial" w:cs="Arial"/>
                <w:szCs w:val="20"/>
              </w:rPr>
            </w:pPr>
          </w:p>
        </w:tc>
      </w:tr>
      <w:tr w:rsidR="005C0895" w:rsidRPr="00223008" w14:paraId="200CBA0A" w14:textId="77777777" w:rsidTr="005C0895">
        <w:trPr>
          <w:trHeight w:val="1263"/>
          <w:jc w:val="center"/>
        </w:trPr>
        <w:tc>
          <w:tcPr>
            <w:tcW w:w="3969" w:type="dxa"/>
            <w:vAlign w:val="center"/>
          </w:tcPr>
          <w:p w14:paraId="57ACDA8E" w14:textId="77777777" w:rsidR="005C0895" w:rsidRPr="00223008" w:rsidRDefault="005C0895" w:rsidP="005C089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6" w:hanging="316"/>
              <w:rPr>
                <w:rFonts w:ascii="Arial" w:eastAsia="Calibri" w:hAnsi="Arial" w:cs="Arial"/>
                <w:szCs w:val="24"/>
              </w:rPr>
            </w:pPr>
            <w:r w:rsidRPr="00223008">
              <w:rPr>
                <w:rFonts w:ascii="Arial" w:eastAsia="Calibri" w:hAnsi="Arial" w:cs="Arial"/>
                <w:szCs w:val="24"/>
              </w:rPr>
              <w:t>Quel outil de jugement est utilisé pour l’évaluation de la production écrite?</w:t>
            </w:r>
          </w:p>
        </w:tc>
        <w:tc>
          <w:tcPr>
            <w:tcW w:w="5102" w:type="dxa"/>
            <w:vAlign w:val="center"/>
          </w:tcPr>
          <w:p w14:paraId="1D494C9C" w14:textId="77777777" w:rsidR="005C0895" w:rsidRPr="00223008" w:rsidRDefault="005C0895" w:rsidP="005C0895">
            <w:pPr>
              <w:pStyle w:val="Paragraphedeliste"/>
              <w:spacing w:after="0" w:line="240" w:lineRule="auto"/>
              <w:ind w:left="34"/>
              <w:contextualSpacing w:val="0"/>
              <w:rPr>
                <w:rFonts w:ascii="Arial" w:hAnsi="Arial" w:cs="Arial"/>
                <w:szCs w:val="20"/>
              </w:rPr>
            </w:pPr>
          </w:p>
        </w:tc>
      </w:tr>
      <w:tr w:rsidR="005C0895" w:rsidRPr="00223008" w14:paraId="0AB5B71C" w14:textId="77777777" w:rsidTr="005C0895">
        <w:trPr>
          <w:trHeight w:val="2577"/>
          <w:jc w:val="center"/>
        </w:trPr>
        <w:tc>
          <w:tcPr>
            <w:tcW w:w="3969" w:type="dxa"/>
            <w:vAlign w:val="center"/>
          </w:tcPr>
          <w:p w14:paraId="2349E268" w14:textId="77777777" w:rsidR="005C0895" w:rsidRPr="00223008" w:rsidRDefault="005C0895" w:rsidP="005C089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6" w:hanging="316"/>
              <w:rPr>
                <w:rFonts w:ascii="Arial" w:eastAsia="Calibri" w:hAnsi="Arial" w:cs="Arial"/>
                <w:szCs w:val="24"/>
              </w:rPr>
            </w:pPr>
            <w:r w:rsidRPr="00223008">
              <w:rPr>
                <w:rFonts w:ascii="Arial" w:eastAsia="Calibri" w:hAnsi="Arial" w:cs="Arial"/>
                <w:szCs w:val="24"/>
              </w:rPr>
              <w:t>Un adulte obtient une note globale pour l’évaluation de 63 %, mais ne réussit pas son cours. Quelle pourrait en être l’explication?</w:t>
            </w:r>
          </w:p>
        </w:tc>
        <w:tc>
          <w:tcPr>
            <w:tcW w:w="5102" w:type="dxa"/>
            <w:vAlign w:val="center"/>
          </w:tcPr>
          <w:p w14:paraId="647F8247" w14:textId="77777777" w:rsidR="005C0895" w:rsidRPr="00223008" w:rsidRDefault="005C0895" w:rsidP="005C0895">
            <w:pPr>
              <w:pStyle w:val="Paragraphedeliste"/>
              <w:spacing w:after="0" w:line="240" w:lineRule="auto"/>
              <w:ind w:left="34"/>
              <w:contextualSpacing w:val="0"/>
              <w:rPr>
                <w:rFonts w:ascii="Arial" w:hAnsi="Arial" w:cs="Arial"/>
                <w:szCs w:val="20"/>
              </w:rPr>
            </w:pPr>
          </w:p>
        </w:tc>
      </w:tr>
      <w:tr w:rsidR="005C0895" w:rsidRPr="00223008" w14:paraId="5EA0307E" w14:textId="77777777" w:rsidTr="005C0895">
        <w:trPr>
          <w:trHeight w:val="1489"/>
          <w:jc w:val="center"/>
        </w:trPr>
        <w:tc>
          <w:tcPr>
            <w:tcW w:w="3969" w:type="dxa"/>
            <w:vAlign w:val="center"/>
          </w:tcPr>
          <w:p w14:paraId="783E746D" w14:textId="77777777" w:rsidR="005C0895" w:rsidRPr="00223008" w:rsidRDefault="005C0895" w:rsidP="005C089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6" w:hanging="316"/>
              <w:rPr>
                <w:rFonts w:ascii="Arial" w:eastAsia="Calibri" w:hAnsi="Arial" w:cs="Arial"/>
                <w:szCs w:val="24"/>
              </w:rPr>
            </w:pPr>
            <w:r w:rsidRPr="00223008">
              <w:rPr>
                <w:rFonts w:ascii="Arial" w:eastAsia="Calibri" w:hAnsi="Arial" w:cs="Arial"/>
                <w:szCs w:val="24"/>
              </w:rPr>
              <w:t>Lors de la conception d’épreuves, est-il obligatoire de se référer à la DDE? Pourquoi?</w:t>
            </w:r>
          </w:p>
        </w:tc>
        <w:tc>
          <w:tcPr>
            <w:tcW w:w="5102" w:type="dxa"/>
            <w:vAlign w:val="center"/>
          </w:tcPr>
          <w:p w14:paraId="0F056FD6" w14:textId="77777777" w:rsidR="005C0895" w:rsidRPr="00223008" w:rsidRDefault="005C0895" w:rsidP="005C0895">
            <w:pPr>
              <w:pStyle w:val="Paragraphedeliste"/>
              <w:spacing w:after="0" w:line="240" w:lineRule="auto"/>
              <w:ind w:left="34"/>
              <w:contextualSpacing w:val="0"/>
              <w:rPr>
                <w:rFonts w:ascii="Arial" w:hAnsi="Arial" w:cs="Arial"/>
                <w:szCs w:val="20"/>
              </w:rPr>
            </w:pPr>
          </w:p>
        </w:tc>
      </w:tr>
      <w:tr w:rsidR="005C0895" w:rsidRPr="00223008" w14:paraId="04F6F665" w14:textId="77777777" w:rsidTr="005C0895">
        <w:trPr>
          <w:trHeight w:val="3226"/>
          <w:jc w:val="center"/>
        </w:trPr>
        <w:tc>
          <w:tcPr>
            <w:tcW w:w="3969" w:type="dxa"/>
            <w:vAlign w:val="center"/>
          </w:tcPr>
          <w:p w14:paraId="4271441D" w14:textId="77777777" w:rsidR="005C0895" w:rsidRPr="00223008" w:rsidRDefault="005C0895" w:rsidP="005C089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6" w:hanging="316"/>
              <w:rPr>
                <w:rFonts w:ascii="Arial" w:eastAsia="Calibri" w:hAnsi="Arial" w:cs="Arial"/>
                <w:szCs w:val="24"/>
              </w:rPr>
            </w:pPr>
            <w:r w:rsidRPr="00223008">
              <w:rPr>
                <w:rFonts w:ascii="Arial" w:eastAsia="Calibri" w:hAnsi="Arial" w:cs="Arial"/>
                <w:szCs w:val="24"/>
              </w:rPr>
              <w:lastRenderedPageBreak/>
              <w:t>En production orale, qu’entend-on par « Exploiter les éléments de la grammaire de la phrase »?</w:t>
            </w:r>
          </w:p>
        </w:tc>
        <w:tc>
          <w:tcPr>
            <w:tcW w:w="5102" w:type="dxa"/>
            <w:vAlign w:val="center"/>
          </w:tcPr>
          <w:p w14:paraId="0E4EED6C" w14:textId="77777777" w:rsidR="005C0895" w:rsidRPr="005C0895" w:rsidRDefault="005C0895" w:rsidP="005C0895">
            <w:pPr>
              <w:spacing w:after="0" w:line="240" w:lineRule="auto"/>
              <w:rPr>
                <w:rFonts w:cs="Arial"/>
                <w:sz w:val="24"/>
              </w:rPr>
            </w:pPr>
          </w:p>
        </w:tc>
      </w:tr>
      <w:tr w:rsidR="005C0895" w:rsidRPr="00010364" w14:paraId="787E17C1" w14:textId="77777777" w:rsidTr="005C0895">
        <w:trPr>
          <w:trHeight w:val="1949"/>
          <w:jc w:val="center"/>
        </w:trPr>
        <w:tc>
          <w:tcPr>
            <w:tcW w:w="3969" w:type="dxa"/>
            <w:vAlign w:val="center"/>
          </w:tcPr>
          <w:p w14:paraId="11572FF9" w14:textId="77777777" w:rsidR="005C0895" w:rsidRPr="00223008" w:rsidRDefault="005C0895" w:rsidP="005C089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6" w:hanging="316"/>
              <w:rPr>
                <w:rFonts w:ascii="Arial" w:eastAsia="Calibri" w:hAnsi="Arial" w:cs="Arial"/>
                <w:szCs w:val="24"/>
              </w:rPr>
            </w:pPr>
            <w:r w:rsidRPr="00223008">
              <w:rPr>
                <w:rFonts w:ascii="Arial" w:eastAsia="Calibri" w:hAnsi="Arial" w:cs="Arial"/>
                <w:szCs w:val="24"/>
              </w:rPr>
              <w:t>Les repères culturels sont-ils pris en compte dans l’évaluation?</w:t>
            </w:r>
          </w:p>
        </w:tc>
        <w:tc>
          <w:tcPr>
            <w:tcW w:w="5102" w:type="dxa"/>
            <w:vAlign w:val="center"/>
          </w:tcPr>
          <w:p w14:paraId="58D82E89" w14:textId="77777777" w:rsidR="005C0895" w:rsidRPr="00874DEC" w:rsidRDefault="005C0895" w:rsidP="005C0895">
            <w:pPr>
              <w:spacing w:after="0" w:line="240" w:lineRule="auto"/>
              <w:ind w:left="34"/>
              <w:rPr>
                <w:rFonts w:cs="Arial"/>
                <w:szCs w:val="20"/>
              </w:rPr>
            </w:pPr>
          </w:p>
        </w:tc>
      </w:tr>
    </w:tbl>
    <w:p w14:paraId="18624D16" w14:textId="77777777" w:rsidR="0009470A" w:rsidRDefault="0009470A"/>
    <w:sectPr w:rsidR="0009470A" w:rsidSect="00227CA6">
      <w:footerReference w:type="default" r:id="rId9"/>
      <w:footerReference w:type="first" r:id="rId10"/>
      <w:pgSz w:w="12240" w:h="15840"/>
      <w:pgMar w:top="1440" w:right="1440" w:bottom="1440" w:left="144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E590A" w14:textId="77777777" w:rsidR="006C0F4E" w:rsidRDefault="006C0F4E" w:rsidP="005C0895">
      <w:pPr>
        <w:spacing w:after="0" w:line="240" w:lineRule="auto"/>
      </w:pPr>
      <w:r>
        <w:separator/>
      </w:r>
    </w:p>
  </w:endnote>
  <w:endnote w:type="continuationSeparator" w:id="0">
    <w:p w14:paraId="3C2CAA09" w14:textId="77777777" w:rsidR="006C0F4E" w:rsidRDefault="006C0F4E" w:rsidP="005C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BA442" w14:textId="248F67CE" w:rsidR="00C71041" w:rsidRDefault="00C71041">
    <w:pPr>
      <w:pStyle w:val="Pieddepage"/>
      <w:jc w:val="center"/>
    </w:pPr>
    <w:r>
      <w:t>Exploration d’une DDE</w:t>
    </w:r>
  </w:p>
  <w:p w14:paraId="7EC88E21" w14:textId="25A23647" w:rsidR="00C71041" w:rsidRDefault="006C0F4E">
    <w:pPr>
      <w:pStyle w:val="Pieddepage"/>
      <w:jc w:val="center"/>
    </w:pPr>
    <w:sdt>
      <w:sdtPr>
        <w:id w:val="-1240396996"/>
        <w:docPartObj>
          <w:docPartGallery w:val="Page Numbers (Bottom of Page)"/>
          <w:docPartUnique/>
        </w:docPartObj>
      </w:sdtPr>
      <w:sdtEndPr/>
      <w:sdtContent>
        <w:r w:rsidR="00C71041">
          <w:fldChar w:fldCharType="begin"/>
        </w:r>
        <w:r w:rsidR="00C71041">
          <w:instrText>PAGE   \* MERGEFORMAT</w:instrText>
        </w:r>
        <w:r w:rsidR="00C71041">
          <w:fldChar w:fldCharType="separate"/>
        </w:r>
        <w:r w:rsidR="0051495A" w:rsidRPr="0051495A">
          <w:rPr>
            <w:noProof/>
            <w:lang w:val="fr-FR"/>
          </w:rPr>
          <w:t>-</w:t>
        </w:r>
        <w:r w:rsidR="0051495A">
          <w:rPr>
            <w:noProof/>
          </w:rPr>
          <w:t xml:space="preserve"> 1 -</w:t>
        </w:r>
        <w:r w:rsidR="00C71041">
          <w:fldChar w:fldCharType="end"/>
        </w:r>
      </w:sdtContent>
    </w:sdt>
  </w:p>
  <w:p w14:paraId="3A8300F5" w14:textId="77777777" w:rsidR="00C71041" w:rsidRDefault="00C7104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A4C81" w14:textId="77777777" w:rsidR="005C0895" w:rsidRDefault="005C0895" w:rsidP="005C0895">
    <w:pPr>
      <w:pStyle w:val="Pieddepage"/>
      <w:tabs>
        <w:tab w:val="clear" w:pos="4320"/>
        <w:tab w:val="clear" w:pos="8640"/>
      </w:tabs>
      <w:jc w:val="center"/>
    </w:pPr>
    <w:r>
      <w:ptab w:relativeTo="margin" w:alignment="center" w:leader="none"/>
    </w:r>
    <w:r w:rsidRPr="005C0895">
      <w:t xml:space="preserve"> </w:t>
    </w:r>
  </w:p>
  <w:sdt>
    <w:sdtPr>
      <w:id w:val="-1743097268"/>
      <w:docPartObj>
        <w:docPartGallery w:val="Page Numbers (Bottom of Page)"/>
        <w:docPartUnique/>
      </w:docPartObj>
    </w:sdtPr>
    <w:sdtEndPr/>
    <w:sdtContent>
      <w:p w14:paraId="1CD5ADC8" w14:textId="77777777" w:rsidR="005C0895" w:rsidRDefault="005C0895" w:rsidP="005C0895">
        <w:pPr>
          <w:pStyle w:val="Pieddepage"/>
          <w:tabs>
            <w:tab w:val="clear" w:pos="4320"/>
            <w:tab w:val="clear" w:pos="8640"/>
          </w:tabs>
          <w:jc w:val="center"/>
        </w:pPr>
        <w:r>
          <w:t>Exploration d’une DDE</w:t>
        </w:r>
      </w:p>
      <w:p w14:paraId="4C789EFB" w14:textId="3C4A3B0B" w:rsidR="005C0895" w:rsidRDefault="005C0895" w:rsidP="005C0895">
        <w:pPr>
          <w:pStyle w:val="Pieddepage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71041" w:rsidRPr="00C71041">
          <w:rPr>
            <w:noProof/>
            <w:lang w:val="fr-FR"/>
          </w:rPr>
          <w:t>1</w:t>
        </w:r>
        <w:r>
          <w:fldChar w:fldCharType="end"/>
        </w:r>
        <w:r>
          <w:t xml:space="preserve"> - </w:t>
        </w:r>
      </w:p>
    </w:sdtContent>
  </w:sdt>
  <w:p w14:paraId="4A77EE68" w14:textId="77777777" w:rsidR="005C0895" w:rsidRDefault="005C08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7FA84" w14:textId="77777777" w:rsidR="006C0F4E" w:rsidRDefault="006C0F4E" w:rsidP="005C0895">
      <w:pPr>
        <w:spacing w:after="0" w:line="240" w:lineRule="auto"/>
      </w:pPr>
      <w:r>
        <w:separator/>
      </w:r>
    </w:p>
  </w:footnote>
  <w:footnote w:type="continuationSeparator" w:id="0">
    <w:p w14:paraId="35A9AE6F" w14:textId="77777777" w:rsidR="006C0F4E" w:rsidRDefault="006C0F4E" w:rsidP="005C0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EA8"/>
    <w:multiLevelType w:val="hybridMultilevel"/>
    <w:tmpl w:val="CC823874"/>
    <w:lvl w:ilvl="0" w:tplc="123CC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  <w:sz w:val="24"/>
        <w:szCs w:val="2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B4AC4"/>
    <w:multiLevelType w:val="hybridMultilevel"/>
    <w:tmpl w:val="C4BAC7E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7182A"/>
    <w:multiLevelType w:val="hybridMultilevel"/>
    <w:tmpl w:val="88B29628"/>
    <w:lvl w:ilvl="0" w:tplc="0C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743C73C6"/>
    <w:multiLevelType w:val="hybridMultilevel"/>
    <w:tmpl w:val="C4BAC7E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8C"/>
    <w:rsid w:val="00094122"/>
    <w:rsid w:val="0009470A"/>
    <w:rsid w:val="000A0927"/>
    <w:rsid w:val="001B26F3"/>
    <w:rsid w:val="00227CA6"/>
    <w:rsid w:val="003505FC"/>
    <w:rsid w:val="00385D21"/>
    <w:rsid w:val="0051495A"/>
    <w:rsid w:val="005C0895"/>
    <w:rsid w:val="006C0F4E"/>
    <w:rsid w:val="007619F2"/>
    <w:rsid w:val="00854B2B"/>
    <w:rsid w:val="008F3896"/>
    <w:rsid w:val="009A7D6A"/>
    <w:rsid w:val="00A5399A"/>
    <w:rsid w:val="00BC0772"/>
    <w:rsid w:val="00C71041"/>
    <w:rsid w:val="00CF088C"/>
    <w:rsid w:val="00D4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A33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8C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CF0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CF088C"/>
    <w:pPr>
      <w:spacing w:after="240"/>
      <w:jc w:val="center"/>
      <w:outlineLvl w:val="1"/>
    </w:pPr>
    <w:rPr>
      <w:rFonts w:ascii="Arial" w:hAnsi="Arial" w:cs="Arial"/>
      <w:color w:val="auto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F088C"/>
    <w:rPr>
      <w:rFonts w:ascii="Arial" w:eastAsiaTheme="majorEastAsia" w:hAnsi="Arial" w:cs="Arial"/>
      <w:b/>
      <w:bCs/>
      <w:sz w:val="32"/>
      <w:szCs w:val="28"/>
    </w:rPr>
  </w:style>
  <w:style w:type="paragraph" w:styleId="Paragraphedeliste">
    <w:name w:val="List Paragraph"/>
    <w:basedOn w:val="Normal"/>
    <w:uiPriority w:val="34"/>
    <w:qFormat/>
    <w:rsid w:val="00CF088C"/>
    <w:pPr>
      <w:ind w:left="720"/>
      <w:contextualSpacing/>
    </w:pPr>
    <w:rPr>
      <w:rFonts w:asciiTheme="minorHAnsi" w:hAnsiTheme="minorHAnsi"/>
    </w:rPr>
  </w:style>
  <w:style w:type="character" w:customStyle="1" w:styleId="Titre1Car">
    <w:name w:val="Titre 1 Car"/>
    <w:basedOn w:val="Policepardfaut"/>
    <w:link w:val="Titre1"/>
    <w:uiPriority w:val="9"/>
    <w:rsid w:val="00CF0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CF088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F3896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C08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0895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5C08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0895"/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8C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CF0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CF088C"/>
    <w:pPr>
      <w:spacing w:after="240"/>
      <w:jc w:val="center"/>
      <w:outlineLvl w:val="1"/>
    </w:pPr>
    <w:rPr>
      <w:rFonts w:ascii="Arial" w:hAnsi="Arial" w:cs="Arial"/>
      <w:color w:val="auto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F088C"/>
    <w:rPr>
      <w:rFonts w:ascii="Arial" w:eastAsiaTheme="majorEastAsia" w:hAnsi="Arial" w:cs="Arial"/>
      <w:b/>
      <w:bCs/>
      <w:sz w:val="32"/>
      <w:szCs w:val="28"/>
    </w:rPr>
  </w:style>
  <w:style w:type="paragraph" w:styleId="Paragraphedeliste">
    <w:name w:val="List Paragraph"/>
    <w:basedOn w:val="Normal"/>
    <w:uiPriority w:val="34"/>
    <w:qFormat/>
    <w:rsid w:val="00CF088C"/>
    <w:pPr>
      <w:ind w:left="720"/>
      <w:contextualSpacing/>
    </w:pPr>
    <w:rPr>
      <w:rFonts w:asciiTheme="minorHAnsi" w:hAnsiTheme="minorHAnsi"/>
    </w:rPr>
  </w:style>
  <w:style w:type="character" w:customStyle="1" w:styleId="Titre1Car">
    <w:name w:val="Titre 1 Car"/>
    <w:basedOn w:val="Policepardfaut"/>
    <w:link w:val="Titre1"/>
    <w:uiPriority w:val="9"/>
    <w:rsid w:val="00CF0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CF088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F3896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C08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0895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5C08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0895"/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qc.ca/references/publications/resultats-de-la-recherche/detail/article/formation-generale-des-adultes-programme-detudes-francisatio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2016-01-12T16:32:00Z</dcterms:created>
  <dcterms:modified xsi:type="dcterms:W3CDTF">2016-01-12T16:32:00Z</dcterms:modified>
</cp:coreProperties>
</file>