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B4" w:rsidRDefault="00980E40" w:rsidP="00523CB4">
      <w:pPr>
        <w:pStyle w:val="Titre2"/>
        <w:rPr>
          <w:rFonts w:eastAsia="Calibri"/>
          <w:b w:val="0"/>
        </w:rPr>
      </w:pPr>
      <w:bookmarkStart w:id="0" w:name="_Toc417914832"/>
      <w:bookmarkStart w:id="1" w:name="_Toc417914833"/>
      <w:bookmarkStart w:id="2" w:name="_GoBack"/>
      <w:bookmarkEnd w:id="2"/>
      <w:r w:rsidRPr="00CF088C">
        <w:rPr>
          <w:rFonts w:eastAsia="Calibri"/>
        </w:rPr>
        <w:t xml:space="preserve">Exploration d’une </w:t>
      </w:r>
      <w:r>
        <w:rPr>
          <w:rFonts w:eastAsia="Calibri"/>
        </w:rPr>
        <w:t>définition du domaine d’évaluation (</w:t>
      </w:r>
      <w:r w:rsidRPr="00CF088C">
        <w:rPr>
          <w:rFonts w:eastAsia="Calibri"/>
        </w:rPr>
        <w:t>DDE</w:t>
      </w:r>
      <w:bookmarkEnd w:id="0"/>
      <w:r>
        <w:rPr>
          <w:rFonts w:eastAsia="Calibri"/>
        </w:rPr>
        <w:t>)</w:t>
      </w:r>
      <w:r w:rsidRPr="00CF088C">
        <w:rPr>
          <w:rFonts w:eastAsia="Calibri"/>
        </w:rPr>
        <w:t xml:space="preserve"> </w:t>
      </w:r>
      <w:bookmarkEnd w:id="1"/>
    </w:p>
    <w:p w:rsidR="00980E40" w:rsidRPr="00CF088C" w:rsidRDefault="00980E40" w:rsidP="00E371CC">
      <w:pPr>
        <w:spacing w:after="0" w:line="240" w:lineRule="auto"/>
        <w:jc w:val="both"/>
        <w:rPr>
          <w:rFonts w:eastAsia="Calibri" w:cs="Arial"/>
          <w:sz w:val="28"/>
        </w:rPr>
      </w:pPr>
      <w:r w:rsidRPr="00CF088C">
        <w:rPr>
          <w:rFonts w:eastAsia="Calibri" w:cs="Arial"/>
          <w:sz w:val="28"/>
        </w:rPr>
        <w:t>L’activité qui suit vise à vous familiariser avec le contenu et l’organisation de la définition du domaine d’évaluation. Vous serez donc amené(e) à en découvrir la structure et les composantes et à en cerner les particularités.</w:t>
      </w:r>
    </w:p>
    <w:p w:rsidR="00980E40" w:rsidRPr="00CF088C" w:rsidRDefault="00980E40" w:rsidP="00E371CC">
      <w:pPr>
        <w:spacing w:after="0" w:line="240" w:lineRule="auto"/>
        <w:jc w:val="both"/>
        <w:rPr>
          <w:rFonts w:eastAsia="Calibri" w:cs="Arial"/>
          <w:sz w:val="28"/>
        </w:rPr>
      </w:pPr>
    </w:p>
    <w:p w:rsidR="00980E40" w:rsidRDefault="00980E40" w:rsidP="00980E40">
      <w:pPr>
        <w:spacing w:after="0"/>
        <w:jc w:val="both"/>
        <w:rPr>
          <w:rFonts w:eastAsia="Calibri" w:cs="Arial"/>
          <w:sz w:val="28"/>
        </w:rPr>
      </w:pPr>
      <w:r>
        <w:rPr>
          <w:rFonts w:eastAsia="Calibri" w:cs="Arial"/>
          <w:sz w:val="28"/>
        </w:rPr>
        <w:t xml:space="preserve">Parcourez la DDE </w:t>
      </w:r>
      <w:r w:rsidRPr="00CF088C">
        <w:rPr>
          <w:rFonts w:eastAsia="Calibri" w:cs="Arial"/>
          <w:sz w:val="28"/>
        </w:rPr>
        <w:t xml:space="preserve">du </w:t>
      </w:r>
      <w:r w:rsidRPr="00CF088C">
        <w:rPr>
          <w:rFonts w:eastAsia="Calibri" w:cs="Arial"/>
          <w:i/>
          <w:sz w:val="28"/>
        </w:rPr>
        <w:t>Niveau 4 : Des propos sur des thèmes familiers</w:t>
      </w:r>
      <w:r w:rsidRPr="00CF088C">
        <w:rPr>
          <w:rFonts w:eastAsia="Calibri" w:cs="Arial"/>
          <w:sz w:val="28"/>
        </w:rPr>
        <w:t xml:space="preserve"> </w:t>
      </w:r>
      <w:r>
        <w:rPr>
          <w:rFonts w:eastAsia="Calibri" w:cs="Arial"/>
          <w:sz w:val="28"/>
        </w:rPr>
        <w:t xml:space="preserve">disponible sur le </w:t>
      </w:r>
      <w:hyperlink r:id="rId9" w:history="1">
        <w:r w:rsidRPr="008F3896">
          <w:rPr>
            <w:rStyle w:val="Lienhypertexte"/>
            <w:rFonts w:eastAsia="Calibri" w:cs="Arial"/>
            <w:sz w:val="28"/>
          </w:rPr>
          <w:t>site du Ministère</w:t>
        </w:r>
      </w:hyperlink>
      <w:r>
        <w:rPr>
          <w:rFonts w:eastAsia="Calibri" w:cs="Arial"/>
          <w:sz w:val="28"/>
        </w:rPr>
        <w:t xml:space="preserve"> </w:t>
      </w:r>
      <w:r w:rsidRPr="00CF088C">
        <w:rPr>
          <w:rFonts w:eastAsia="Calibri" w:cs="Arial"/>
          <w:sz w:val="28"/>
        </w:rPr>
        <w:t xml:space="preserve">et répondez aux questions qui suivent. </w:t>
      </w:r>
    </w:p>
    <w:p w:rsidR="00980E40" w:rsidRPr="00CF088C" w:rsidRDefault="00980E40" w:rsidP="00980E40">
      <w:pPr>
        <w:spacing w:after="0"/>
        <w:jc w:val="both"/>
        <w:rPr>
          <w:rFonts w:eastAsia="Calibri" w:cs="Arial"/>
          <w:sz w:val="28"/>
        </w:rPr>
      </w:pP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69"/>
        <w:gridCol w:w="5102"/>
      </w:tblGrid>
      <w:tr w:rsidR="00223008" w:rsidRPr="00223008" w:rsidTr="00223008">
        <w:trPr>
          <w:trHeight w:val="848"/>
          <w:tblHeader/>
          <w:jc w:val="center"/>
        </w:trPr>
        <w:tc>
          <w:tcPr>
            <w:tcW w:w="3969" w:type="dxa"/>
            <w:shd w:val="clear" w:color="auto" w:fill="7F7F7F" w:themeFill="text1" w:themeFillTint="80"/>
            <w:vAlign w:val="center"/>
          </w:tcPr>
          <w:p w:rsidR="00223008" w:rsidRPr="00223008" w:rsidRDefault="00223008" w:rsidP="00D75DF0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</w:rPr>
            </w:pPr>
            <w:r w:rsidRPr="00223008">
              <w:rPr>
                <w:rFonts w:eastAsia="Batang" w:cs="Arial"/>
                <w:b/>
                <w:smallCaps/>
                <w:sz w:val="24"/>
              </w:rPr>
              <w:t>ÉLÉMENTS À REPÉRER</w:t>
            </w:r>
            <w:r w:rsidRPr="00223008">
              <w:rPr>
                <w:rFonts w:eastAsia="Calibri" w:cs="Arial"/>
                <w:b/>
                <w:sz w:val="24"/>
              </w:rPr>
              <w:t xml:space="preserve"> </w:t>
            </w:r>
          </w:p>
        </w:tc>
        <w:tc>
          <w:tcPr>
            <w:tcW w:w="5102" w:type="dxa"/>
            <w:shd w:val="clear" w:color="auto" w:fill="7F7F7F" w:themeFill="text1" w:themeFillTint="80"/>
            <w:vAlign w:val="center"/>
          </w:tcPr>
          <w:p w:rsidR="00223008" w:rsidRPr="00223008" w:rsidRDefault="00223008" w:rsidP="00D75DF0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</w:rPr>
            </w:pPr>
            <w:r w:rsidRPr="00223008">
              <w:rPr>
                <w:rFonts w:eastAsia="Batang" w:cs="Arial"/>
                <w:b/>
                <w:smallCaps/>
                <w:sz w:val="24"/>
              </w:rPr>
              <w:t>RÉPONSES</w:t>
            </w:r>
          </w:p>
        </w:tc>
      </w:tr>
      <w:tr w:rsidR="00223008" w:rsidRPr="00223008" w:rsidTr="00223008">
        <w:trPr>
          <w:trHeight w:val="1682"/>
          <w:jc w:val="center"/>
        </w:trPr>
        <w:tc>
          <w:tcPr>
            <w:tcW w:w="3969" w:type="dxa"/>
            <w:vAlign w:val="center"/>
          </w:tcPr>
          <w:p w:rsidR="00223008" w:rsidRPr="00223008" w:rsidRDefault="00223008" w:rsidP="00523CB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 xml:space="preserve">Quelle est la pondération accordée à chacune des compétences? </w:t>
            </w:r>
          </w:p>
        </w:tc>
        <w:tc>
          <w:tcPr>
            <w:tcW w:w="5102" w:type="dxa"/>
            <w:vAlign w:val="center"/>
          </w:tcPr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 xml:space="preserve">CO : 30 % </w:t>
            </w:r>
          </w:p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PO : 30 %</w:t>
            </w:r>
          </w:p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CE : 20 %</w:t>
            </w:r>
          </w:p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PE : 20 %</w:t>
            </w:r>
          </w:p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(p. 6)</w:t>
            </w:r>
          </w:p>
        </w:tc>
      </w:tr>
      <w:tr w:rsidR="00223008" w:rsidRPr="00223008" w:rsidTr="00223008">
        <w:trPr>
          <w:trHeight w:val="2358"/>
          <w:jc w:val="center"/>
        </w:trPr>
        <w:tc>
          <w:tcPr>
            <w:tcW w:w="3969" w:type="dxa"/>
            <w:vAlign w:val="center"/>
          </w:tcPr>
          <w:p w:rsidR="00223008" w:rsidRPr="00223008" w:rsidRDefault="00223008" w:rsidP="00523CB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Qu’est-ce qui distingue l’évaluation de la compréhension orale? Comment sont répartis les points?</w:t>
            </w:r>
          </w:p>
        </w:tc>
        <w:tc>
          <w:tcPr>
            <w:tcW w:w="5102" w:type="dxa"/>
            <w:vAlign w:val="center"/>
          </w:tcPr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La CO est évaluée en deux parties : lors de l’écoute d’un enregistrement audio (Partie 1 : CO</w:t>
            </w:r>
            <w:r w:rsidR="00C90CC9">
              <w:rPr>
                <w:rFonts w:ascii="Arial" w:hAnsi="Arial" w:cs="Arial"/>
                <w:szCs w:val="20"/>
              </w:rPr>
              <w:t xml:space="preserve"> seule</w:t>
            </w:r>
            <w:r w:rsidRPr="00223008">
              <w:rPr>
                <w:rFonts w:ascii="Arial" w:hAnsi="Arial" w:cs="Arial"/>
                <w:szCs w:val="20"/>
              </w:rPr>
              <w:t>) et de manière combinée lors d’un échange verbal (Partie 2 : CO-PO).</w:t>
            </w:r>
          </w:p>
          <w:p w:rsidR="00223008" w:rsidRPr="00223008" w:rsidRDefault="00223008" w:rsidP="00223008">
            <w:pPr>
              <w:pStyle w:val="Paragraphedeliste"/>
              <w:numPr>
                <w:ilvl w:val="0"/>
                <w:numId w:val="3"/>
              </w:numPr>
              <w:spacing w:after="0"/>
              <w:ind w:left="34" w:firstLine="425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 xml:space="preserve">CO </w:t>
            </w:r>
            <w:r w:rsidR="00C90CC9">
              <w:rPr>
                <w:rFonts w:ascii="Arial" w:hAnsi="Arial" w:cs="Arial"/>
                <w:szCs w:val="20"/>
              </w:rPr>
              <w:t>seule</w:t>
            </w:r>
            <w:r w:rsidRPr="00223008">
              <w:rPr>
                <w:rFonts w:ascii="Arial" w:hAnsi="Arial" w:cs="Arial"/>
                <w:szCs w:val="20"/>
              </w:rPr>
              <w:t> : 15%</w:t>
            </w:r>
          </w:p>
          <w:p w:rsidR="00223008" w:rsidRPr="00223008" w:rsidRDefault="00223008" w:rsidP="00223008">
            <w:pPr>
              <w:pStyle w:val="Paragraphedeliste"/>
              <w:numPr>
                <w:ilvl w:val="0"/>
                <w:numId w:val="3"/>
              </w:numPr>
              <w:spacing w:after="0"/>
              <w:ind w:left="34" w:firstLine="425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CO-PO : 15%</w:t>
            </w:r>
            <w:r w:rsidR="00C90CC9">
              <w:rPr>
                <w:rFonts w:ascii="Arial" w:hAnsi="Arial" w:cs="Arial"/>
                <w:szCs w:val="20"/>
              </w:rPr>
              <w:t xml:space="preserve"> </w:t>
            </w:r>
          </w:p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(p. 6)</w:t>
            </w:r>
          </w:p>
        </w:tc>
      </w:tr>
      <w:tr w:rsidR="00223008" w:rsidRPr="00223008" w:rsidTr="00223008">
        <w:trPr>
          <w:trHeight w:val="1244"/>
          <w:jc w:val="center"/>
        </w:trPr>
        <w:tc>
          <w:tcPr>
            <w:tcW w:w="3969" w:type="dxa"/>
            <w:vAlign w:val="center"/>
          </w:tcPr>
          <w:p w:rsidR="00223008" w:rsidRPr="00223008" w:rsidRDefault="00223008" w:rsidP="00523CB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Quel est le matériel autorisé pour la partie Évaluation de la compétence « Compréhension orale »?</w:t>
            </w:r>
          </w:p>
        </w:tc>
        <w:tc>
          <w:tcPr>
            <w:tcW w:w="5102" w:type="dxa"/>
            <w:vAlign w:val="center"/>
          </w:tcPr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Le d</w:t>
            </w:r>
            <w:r w:rsidRPr="00223008">
              <w:rPr>
                <w:rFonts w:ascii="Arial" w:hAnsi="Arial" w:cs="Arial"/>
                <w:szCs w:val="20"/>
              </w:rPr>
              <w:t>ictionnaire bilingue (p. 9)</w:t>
            </w:r>
          </w:p>
        </w:tc>
      </w:tr>
      <w:tr w:rsidR="00223008" w:rsidRPr="00223008" w:rsidTr="00223008">
        <w:trPr>
          <w:trHeight w:val="1516"/>
          <w:jc w:val="center"/>
        </w:trPr>
        <w:tc>
          <w:tcPr>
            <w:tcW w:w="3969" w:type="dxa"/>
            <w:vAlign w:val="center"/>
          </w:tcPr>
          <w:p w:rsidR="00223008" w:rsidRPr="00223008" w:rsidRDefault="00223008" w:rsidP="00523CB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L’adulte qui échoue la partie de production écrite et qui souhaite se prévaloir de son droit de reprise doit-il reprendre l’épreuve au complet?</w:t>
            </w:r>
          </w:p>
        </w:tc>
        <w:tc>
          <w:tcPr>
            <w:tcW w:w="5102" w:type="dxa"/>
            <w:vAlign w:val="center"/>
          </w:tcPr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Non, chaque partie est reprise indépendamment de l’autre. (p. 10)</w:t>
            </w:r>
          </w:p>
        </w:tc>
      </w:tr>
      <w:tr w:rsidR="00223008" w:rsidRPr="00223008" w:rsidTr="00223008">
        <w:trPr>
          <w:trHeight w:val="1838"/>
          <w:jc w:val="center"/>
        </w:trPr>
        <w:tc>
          <w:tcPr>
            <w:tcW w:w="3969" w:type="dxa"/>
            <w:vAlign w:val="center"/>
          </w:tcPr>
          <w:p w:rsidR="00223008" w:rsidRPr="00223008" w:rsidRDefault="00223008" w:rsidP="00523CB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lastRenderedPageBreak/>
              <w:t>Le dictionnaire bilingue est-il autorisé pendant les dialogues de la partie Évaluation combinée des compétences « Compréhension orale » et « Production orale »?</w:t>
            </w:r>
          </w:p>
        </w:tc>
        <w:tc>
          <w:tcPr>
            <w:tcW w:w="5102" w:type="dxa"/>
            <w:vAlign w:val="center"/>
          </w:tcPr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Non, il est autorisé seulement dans la phase de préparation aux dialogues. Pendant les dialogues, l’adulte a seulement droit au Cahier de l’adulte (qui inclut une fiche aide-mémoire). (p.</w:t>
            </w:r>
            <w:r>
              <w:rPr>
                <w:rFonts w:ascii="Arial" w:hAnsi="Arial" w:cs="Arial"/>
                <w:szCs w:val="20"/>
              </w:rPr>
              <w:t> </w:t>
            </w:r>
            <w:r w:rsidRPr="00223008">
              <w:rPr>
                <w:rFonts w:ascii="Arial" w:hAnsi="Arial" w:cs="Arial"/>
                <w:szCs w:val="20"/>
              </w:rPr>
              <w:t>9)</w:t>
            </w:r>
          </w:p>
        </w:tc>
      </w:tr>
      <w:tr w:rsidR="00223008" w:rsidRPr="00223008" w:rsidTr="00223008">
        <w:trPr>
          <w:trHeight w:val="1757"/>
          <w:jc w:val="center"/>
        </w:trPr>
        <w:tc>
          <w:tcPr>
            <w:tcW w:w="3969" w:type="dxa"/>
            <w:vAlign w:val="center"/>
          </w:tcPr>
          <w:p w:rsidR="00223008" w:rsidRPr="00223008" w:rsidRDefault="00223008" w:rsidP="00523CB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 xml:space="preserve">Quel est le temps alloué pour la passation de la partie Évaluation de la compétence « Compréhension écrite »? </w:t>
            </w:r>
          </w:p>
        </w:tc>
        <w:tc>
          <w:tcPr>
            <w:tcW w:w="5102" w:type="dxa"/>
            <w:vAlign w:val="center"/>
          </w:tcPr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60 minutes (p. 7)</w:t>
            </w:r>
          </w:p>
        </w:tc>
      </w:tr>
      <w:tr w:rsidR="00223008" w:rsidRPr="00223008" w:rsidTr="00223008">
        <w:trPr>
          <w:trHeight w:val="1240"/>
          <w:jc w:val="center"/>
        </w:trPr>
        <w:tc>
          <w:tcPr>
            <w:tcW w:w="3969" w:type="dxa"/>
            <w:vAlign w:val="center"/>
          </w:tcPr>
          <w:p w:rsidR="00223008" w:rsidRPr="00223008" w:rsidRDefault="00223008" w:rsidP="00523CB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L’adulte peut-il avoir accès à la DDE?</w:t>
            </w:r>
          </w:p>
        </w:tc>
        <w:tc>
          <w:tcPr>
            <w:tcW w:w="5102" w:type="dxa"/>
            <w:vAlign w:val="center"/>
          </w:tcPr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Oui, la DDE est publique. Elle peut servir, tout comme les grilles d’évaluation, à indiquer à l’adulte ce sur quoi il sera évalué. (p. 1)</w:t>
            </w:r>
          </w:p>
        </w:tc>
      </w:tr>
      <w:tr w:rsidR="00223008" w:rsidRPr="00223008" w:rsidTr="00223008">
        <w:trPr>
          <w:trHeight w:val="1399"/>
          <w:jc w:val="center"/>
        </w:trPr>
        <w:tc>
          <w:tcPr>
            <w:tcW w:w="3969" w:type="dxa"/>
            <w:vAlign w:val="center"/>
          </w:tcPr>
          <w:p w:rsidR="00223008" w:rsidRPr="00223008" w:rsidRDefault="00223008" w:rsidP="00523CB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Est-ce possible d’administrer plus d’une partie d’épreuve en une même séance d’évaluation?</w:t>
            </w:r>
          </w:p>
        </w:tc>
        <w:tc>
          <w:tcPr>
            <w:tcW w:w="5102" w:type="dxa"/>
            <w:vAlign w:val="center"/>
          </w:tcPr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Oui, certaines parties peuvent être jumelées, pour autant que le rendement de l’adulte n’en soit pas affecté. (p. 7)</w:t>
            </w:r>
          </w:p>
        </w:tc>
      </w:tr>
      <w:tr w:rsidR="00223008" w:rsidRPr="00223008" w:rsidTr="00223008">
        <w:trPr>
          <w:trHeight w:val="1263"/>
          <w:jc w:val="center"/>
        </w:trPr>
        <w:tc>
          <w:tcPr>
            <w:tcW w:w="3969" w:type="dxa"/>
            <w:vAlign w:val="center"/>
          </w:tcPr>
          <w:p w:rsidR="00223008" w:rsidRPr="00223008" w:rsidRDefault="00223008" w:rsidP="00523CB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Quel outil de jugement est utilisé pour l’évaluation de la production écrite?</w:t>
            </w:r>
          </w:p>
        </w:tc>
        <w:tc>
          <w:tcPr>
            <w:tcW w:w="5102" w:type="dxa"/>
            <w:vAlign w:val="center"/>
          </w:tcPr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 xml:space="preserve">Une grille d’évaluation à interprétation </w:t>
            </w:r>
            <w:proofErr w:type="spellStart"/>
            <w:r w:rsidRPr="00223008">
              <w:rPr>
                <w:rFonts w:ascii="Arial" w:hAnsi="Arial" w:cs="Arial"/>
                <w:szCs w:val="20"/>
              </w:rPr>
              <w:t>critérielle</w:t>
            </w:r>
            <w:proofErr w:type="spellEnd"/>
            <w:r w:rsidRPr="00223008">
              <w:rPr>
                <w:rFonts w:ascii="Arial" w:hAnsi="Arial" w:cs="Arial"/>
                <w:szCs w:val="20"/>
              </w:rPr>
              <w:t xml:space="preserve"> (p. 9)</w:t>
            </w:r>
          </w:p>
        </w:tc>
      </w:tr>
      <w:tr w:rsidR="00223008" w:rsidRPr="00223008" w:rsidTr="00223008">
        <w:trPr>
          <w:trHeight w:val="2577"/>
          <w:jc w:val="center"/>
        </w:trPr>
        <w:tc>
          <w:tcPr>
            <w:tcW w:w="3969" w:type="dxa"/>
            <w:vAlign w:val="center"/>
          </w:tcPr>
          <w:p w:rsidR="00223008" w:rsidRPr="00223008" w:rsidRDefault="00223008" w:rsidP="00523CB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Un adulte obtient une note globale pour l’évaluation de 63 %, mais ne réussit pas son cours. Quelle pourrait en être l’explication?</w:t>
            </w:r>
          </w:p>
        </w:tc>
        <w:tc>
          <w:tcPr>
            <w:tcW w:w="5102" w:type="dxa"/>
            <w:vAlign w:val="center"/>
          </w:tcPr>
          <w:p w:rsidR="00223008" w:rsidRPr="00223008" w:rsidRDefault="00223008" w:rsidP="00223008">
            <w:pPr>
              <w:pStyle w:val="Paragraphedeliste"/>
              <w:spacing w:before="120" w:after="0"/>
              <w:ind w:left="34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Cela signifie que l’adulte n’a pas atteint au minimum 50 % pour chacune des compétences.</w:t>
            </w:r>
          </w:p>
          <w:p w:rsidR="00223008" w:rsidRPr="00223008" w:rsidRDefault="00223008" w:rsidP="00223008">
            <w:pPr>
              <w:pStyle w:val="Paragraphedeliste"/>
              <w:spacing w:before="120" w:after="0"/>
              <w:ind w:left="34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Ces deux contraintes (min. 50% pour chaque compétence et 60% comme note globale) doivent être respectées pour que le cours soit réussi.</w:t>
            </w:r>
          </w:p>
          <w:p w:rsidR="00223008" w:rsidRPr="00223008" w:rsidRDefault="00223008" w:rsidP="00223008">
            <w:pPr>
              <w:pStyle w:val="Paragraphedeliste"/>
              <w:spacing w:before="120" w:after="0"/>
              <w:ind w:left="34"/>
              <w:contextualSpacing w:val="0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C’est pour éviter cette confusion que la mention Succès ou Échec apparaît au relevé des apprentissages. (p. 10)</w:t>
            </w:r>
          </w:p>
        </w:tc>
      </w:tr>
      <w:tr w:rsidR="00223008" w:rsidRPr="00223008" w:rsidTr="00223008">
        <w:trPr>
          <w:trHeight w:val="1489"/>
          <w:jc w:val="center"/>
        </w:trPr>
        <w:tc>
          <w:tcPr>
            <w:tcW w:w="3969" w:type="dxa"/>
            <w:vAlign w:val="center"/>
          </w:tcPr>
          <w:p w:rsidR="00223008" w:rsidRPr="00223008" w:rsidRDefault="00223008" w:rsidP="00523CB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Lors de la conception d’épreuves, est-il obligatoire de se référer à la DDE? Pourquoi?</w:t>
            </w:r>
          </w:p>
        </w:tc>
        <w:tc>
          <w:tcPr>
            <w:tcW w:w="5102" w:type="dxa"/>
            <w:vAlign w:val="center"/>
          </w:tcPr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Oui, car la DDE est prescrite.</w:t>
            </w:r>
          </w:p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jc w:val="both"/>
              <w:rPr>
                <w:rFonts w:ascii="Arial" w:hAnsi="Arial" w:cs="Arial"/>
                <w:szCs w:val="20"/>
              </w:rPr>
            </w:pPr>
          </w:p>
          <w:p w:rsidR="00223008" w:rsidRPr="00223008" w:rsidRDefault="00223008" w:rsidP="00223008">
            <w:pPr>
              <w:pStyle w:val="Paragraphedeliste"/>
              <w:spacing w:after="0"/>
              <w:ind w:left="34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Elle balise la conception d’épreuves en versions équivalentes. (p.</w:t>
            </w:r>
            <w:r w:rsidR="00791CF8">
              <w:rPr>
                <w:rFonts w:ascii="Arial" w:hAnsi="Arial" w:cs="Arial"/>
                <w:szCs w:val="20"/>
              </w:rPr>
              <w:t xml:space="preserve"> </w:t>
            </w:r>
            <w:r w:rsidRPr="00223008">
              <w:rPr>
                <w:rFonts w:ascii="Arial" w:hAnsi="Arial" w:cs="Arial"/>
                <w:szCs w:val="20"/>
              </w:rPr>
              <w:t>1)</w:t>
            </w:r>
          </w:p>
        </w:tc>
      </w:tr>
      <w:tr w:rsidR="00223008" w:rsidRPr="00223008" w:rsidTr="00223008">
        <w:trPr>
          <w:trHeight w:val="3226"/>
          <w:jc w:val="center"/>
        </w:trPr>
        <w:tc>
          <w:tcPr>
            <w:tcW w:w="3969" w:type="dxa"/>
            <w:vAlign w:val="center"/>
          </w:tcPr>
          <w:p w:rsidR="00223008" w:rsidRPr="00223008" w:rsidRDefault="00223008" w:rsidP="00523CB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lastRenderedPageBreak/>
              <w:t>En production orale, qu’entend-on par « Exploiter les éléments de la grammaire de la phrase »?</w:t>
            </w:r>
          </w:p>
        </w:tc>
        <w:tc>
          <w:tcPr>
            <w:tcW w:w="5102" w:type="dxa"/>
            <w:vAlign w:val="center"/>
          </w:tcPr>
          <w:p w:rsidR="00223008" w:rsidRPr="00223008" w:rsidRDefault="00223008" w:rsidP="00223008">
            <w:pPr>
              <w:spacing w:after="0"/>
              <w:ind w:left="34"/>
              <w:jc w:val="both"/>
              <w:rPr>
                <w:rFonts w:cs="Arial"/>
                <w:szCs w:val="20"/>
              </w:rPr>
            </w:pPr>
            <w:r w:rsidRPr="00223008">
              <w:rPr>
                <w:rFonts w:cs="Arial"/>
                <w:szCs w:val="20"/>
              </w:rPr>
              <w:t xml:space="preserve">Le tableau des précisions (p. 5) indique que cela inclut, entre autres : </w:t>
            </w:r>
          </w:p>
          <w:p w:rsidR="00223008" w:rsidRPr="00223008" w:rsidRDefault="00223008" w:rsidP="0022300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9" w:hanging="284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Respecter les règles de la syntaxe</w:t>
            </w:r>
          </w:p>
          <w:p w:rsidR="00223008" w:rsidRPr="00223008" w:rsidRDefault="00223008" w:rsidP="0022300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9" w:hanging="284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Respecter les règles d’accord</w:t>
            </w:r>
          </w:p>
          <w:p w:rsidR="00223008" w:rsidRPr="00223008" w:rsidRDefault="00223008" w:rsidP="0022300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9" w:hanging="284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Employer les types et les formes de phrases appropriés</w:t>
            </w:r>
          </w:p>
          <w:p w:rsidR="00223008" w:rsidRPr="00223008" w:rsidRDefault="00223008" w:rsidP="0022300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9" w:hanging="284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223008">
              <w:rPr>
                <w:rFonts w:ascii="Arial" w:hAnsi="Arial" w:cs="Arial"/>
                <w:szCs w:val="20"/>
              </w:rPr>
              <w:t>Employer des phrases simples et des phrases complexes</w:t>
            </w:r>
          </w:p>
          <w:p w:rsidR="00223008" w:rsidRPr="00223008" w:rsidRDefault="00223008" w:rsidP="0022300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9" w:hanging="284"/>
              <w:contextualSpacing w:val="0"/>
              <w:jc w:val="both"/>
              <w:rPr>
                <w:rFonts w:ascii="Arial" w:hAnsi="Arial" w:cs="Arial"/>
                <w:sz w:val="24"/>
              </w:rPr>
            </w:pPr>
            <w:r w:rsidRPr="00223008">
              <w:rPr>
                <w:rFonts w:ascii="Arial" w:hAnsi="Arial" w:cs="Arial"/>
                <w:szCs w:val="20"/>
              </w:rPr>
              <w:t>Employer les temps et modes verbaux appropriés</w:t>
            </w:r>
          </w:p>
        </w:tc>
      </w:tr>
      <w:tr w:rsidR="00223008" w:rsidRPr="00010364" w:rsidTr="00223008">
        <w:trPr>
          <w:trHeight w:val="1949"/>
          <w:jc w:val="center"/>
        </w:trPr>
        <w:tc>
          <w:tcPr>
            <w:tcW w:w="3969" w:type="dxa"/>
            <w:vAlign w:val="center"/>
          </w:tcPr>
          <w:p w:rsidR="00223008" w:rsidRPr="00223008" w:rsidRDefault="00223008" w:rsidP="00523CB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Arial" w:eastAsia="Calibri" w:hAnsi="Arial" w:cs="Arial"/>
                <w:szCs w:val="24"/>
              </w:rPr>
            </w:pPr>
            <w:r w:rsidRPr="00223008">
              <w:rPr>
                <w:rFonts w:ascii="Arial" w:eastAsia="Calibri" w:hAnsi="Arial" w:cs="Arial"/>
                <w:szCs w:val="24"/>
              </w:rPr>
              <w:t>Les repères culturels sont-ils pris en compte dans l’évaluation?</w:t>
            </w:r>
          </w:p>
        </w:tc>
        <w:tc>
          <w:tcPr>
            <w:tcW w:w="5102" w:type="dxa"/>
            <w:vAlign w:val="center"/>
          </w:tcPr>
          <w:p w:rsidR="00223008" w:rsidRPr="00874DEC" w:rsidRDefault="00223008" w:rsidP="00223008">
            <w:pPr>
              <w:spacing w:after="0"/>
              <w:ind w:left="34"/>
              <w:rPr>
                <w:rFonts w:cs="Arial"/>
                <w:szCs w:val="20"/>
              </w:rPr>
            </w:pPr>
            <w:r w:rsidRPr="00223008">
              <w:rPr>
                <w:rFonts w:cs="Arial"/>
                <w:szCs w:val="20"/>
              </w:rPr>
              <w:t>Non, les repères culturels ne sont pas objet d’évaluation. La situation d’évaluation fait immanquablement appel à des repères culturels, tout comme à des stratégies, mais ils ne sont pas évalués. (p. 4)</w:t>
            </w:r>
          </w:p>
        </w:tc>
      </w:tr>
    </w:tbl>
    <w:p w:rsidR="0009470A" w:rsidRDefault="0009470A"/>
    <w:sectPr w:rsidR="0009470A" w:rsidSect="00C90C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06" w:rsidRDefault="00996606" w:rsidP="00C90CC9">
      <w:pPr>
        <w:spacing w:after="0" w:line="240" w:lineRule="auto"/>
      </w:pPr>
      <w:r>
        <w:separator/>
      </w:r>
    </w:p>
  </w:endnote>
  <w:endnote w:type="continuationSeparator" w:id="0">
    <w:p w:rsidR="00996606" w:rsidRDefault="00996606" w:rsidP="00C9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34" w:rsidRDefault="005939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693861"/>
      <w:docPartObj>
        <w:docPartGallery w:val="Page Numbers (Bottom of Page)"/>
        <w:docPartUnique/>
      </w:docPartObj>
    </w:sdtPr>
    <w:sdtEndPr/>
    <w:sdtContent>
      <w:p w:rsidR="00C90CC9" w:rsidRDefault="00C90CC9" w:rsidP="00C90CC9">
        <w:pPr>
          <w:pStyle w:val="Pieddepage"/>
          <w:tabs>
            <w:tab w:val="clear" w:pos="4320"/>
            <w:tab w:val="clear" w:pos="8640"/>
          </w:tabs>
          <w:jc w:val="center"/>
        </w:pPr>
        <w:r>
          <w:t>Exploration d’une DDE - Corrigé</w:t>
        </w:r>
      </w:p>
      <w:p w:rsidR="00C90CC9" w:rsidRDefault="00C90CC9" w:rsidP="00C90CC9">
        <w:pPr>
          <w:pStyle w:val="Pieddepag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6B74" w:rsidRPr="00646B74">
          <w:rPr>
            <w:noProof/>
            <w:lang w:val="fr-FR"/>
          </w:rPr>
          <w:t>1</w:t>
        </w:r>
        <w:r>
          <w:fldChar w:fldCharType="end"/>
        </w:r>
        <w:r>
          <w:t xml:space="preserve"> -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C9" w:rsidRDefault="00C90CC9" w:rsidP="00C90CC9">
    <w:pPr>
      <w:pStyle w:val="Pieddepage"/>
      <w:tabs>
        <w:tab w:val="clear" w:pos="4320"/>
        <w:tab w:val="clear" w:pos="8640"/>
      </w:tabs>
      <w:jc w:val="center"/>
    </w:pPr>
    <w:r>
      <w:ptab w:relativeTo="margin" w:alignment="center" w:leader="none"/>
    </w:r>
    <w:r w:rsidRPr="00C90CC9">
      <w:t xml:space="preserve"> </w:t>
    </w:r>
  </w:p>
  <w:sdt>
    <w:sdtPr>
      <w:id w:val="757713884"/>
      <w:docPartObj>
        <w:docPartGallery w:val="Page Numbers (Bottom of Page)"/>
        <w:docPartUnique/>
      </w:docPartObj>
    </w:sdtPr>
    <w:sdtEndPr/>
    <w:sdtContent>
      <w:p w:rsidR="00C90CC9" w:rsidRDefault="00C90CC9" w:rsidP="00C90CC9">
        <w:pPr>
          <w:pStyle w:val="Pieddepage"/>
          <w:tabs>
            <w:tab w:val="clear" w:pos="4320"/>
            <w:tab w:val="clear" w:pos="8640"/>
          </w:tabs>
          <w:jc w:val="center"/>
        </w:pPr>
        <w:r>
          <w:t>Exploration d’une DDE - Corrigé</w:t>
        </w:r>
      </w:p>
      <w:p w:rsidR="00C90CC9" w:rsidRDefault="00C90CC9" w:rsidP="00C90CC9">
        <w:pPr>
          <w:pStyle w:val="Pieddepage"/>
          <w:tabs>
            <w:tab w:val="center" w:pos="4680"/>
            <w:tab w:val="left" w:pos="5430"/>
          </w:tabs>
        </w:pPr>
        <w:r>
          <w:tab/>
        </w:r>
        <w:r>
          <w:tab/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C90CC9">
          <w:rPr>
            <w:noProof/>
            <w:lang w:val="fr-FR"/>
          </w:rPr>
          <w:t>1</w:t>
        </w:r>
        <w:r>
          <w:fldChar w:fldCharType="end"/>
        </w:r>
        <w:r>
          <w:t xml:space="preserve"> - </w:t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06" w:rsidRDefault="00996606" w:rsidP="00C90CC9">
      <w:pPr>
        <w:spacing w:after="0" w:line="240" w:lineRule="auto"/>
      </w:pPr>
      <w:r>
        <w:separator/>
      </w:r>
    </w:p>
  </w:footnote>
  <w:footnote w:type="continuationSeparator" w:id="0">
    <w:p w:rsidR="00996606" w:rsidRDefault="00996606" w:rsidP="00C90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34" w:rsidRDefault="0059393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40" w:rsidRPr="005272C9" w:rsidRDefault="00980E40" w:rsidP="005272C9">
    <w:pPr>
      <w:pStyle w:val="En-tte"/>
      <w:jc w:val="right"/>
      <w:rPr>
        <w:sz w:val="28"/>
        <w:szCs w:val="28"/>
      </w:rPr>
    </w:pPr>
    <w:r w:rsidRPr="005272C9">
      <w:rPr>
        <w:sz w:val="28"/>
        <w:szCs w:val="28"/>
      </w:rPr>
      <w:t>CORRIGÉ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34" w:rsidRDefault="005939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EA8"/>
    <w:multiLevelType w:val="hybridMultilevel"/>
    <w:tmpl w:val="CC823874"/>
    <w:lvl w:ilvl="0" w:tplc="123CC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  <w:sz w:val="24"/>
        <w:szCs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7182A"/>
    <w:multiLevelType w:val="hybridMultilevel"/>
    <w:tmpl w:val="88B29628"/>
    <w:lvl w:ilvl="0" w:tplc="0C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743C73C6"/>
    <w:multiLevelType w:val="hybridMultilevel"/>
    <w:tmpl w:val="C4BAC7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éjean Deshaies">
    <w15:presenceInfo w15:providerId="None" w15:userId="Réjean Deshai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B4"/>
    <w:rsid w:val="00037DDB"/>
    <w:rsid w:val="0004061F"/>
    <w:rsid w:val="00067B19"/>
    <w:rsid w:val="00094122"/>
    <w:rsid w:val="0009470A"/>
    <w:rsid w:val="00223008"/>
    <w:rsid w:val="003C6B2C"/>
    <w:rsid w:val="00523CB4"/>
    <w:rsid w:val="005272C9"/>
    <w:rsid w:val="00593934"/>
    <w:rsid w:val="00646B74"/>
    <w:rsid w:val="00791CF8"/>
    <w:rsid w:val="00854B2B"/>
    <w:rsid w:val="00980E40"/>
    <w:rsid w:val="00996606"/>
    <w:rsid w:val="009B2582"/>
    <w:rsid w:val="00A5399A"/>
    <w:rsid w:val="00BC0772"/>
    <w:rsid w:val="00C90CC9"/>
    <w:rsid w:val="00D414FE"/>
    <w:rsid w:val="00EE3B8B"/>
    <w:rsid w:val="00F8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B4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523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23CB4"/>
    <w:pPr>
      <w:spacing w:after="240"/>
      <w:jc w:val="center"/>
      <w:outlineLvl w:val="1"/>
    </w:pPr>
    <w:rPr>
      <w:rFonts w:ascii="Arial" w:hAnsi="Arial" w:cs="Arial"/>
      <w:color w:val="auto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23CB4"/>
    <w:rPr>
      <w:rFonts w:ascii="Arial" w:eastAsiaTheme="majorEastAsia" w:hAnsi="Arial" w:cs="Arial"/>
      <w:b/>
      <w:bCs/>
      <w:sz w:val="32"/>
      <w:szCs w:val="28"/>
    </w:rPr>
  </w:style>
  <w:style w:type="paragraph" w:styleId="Paragraphedeliste">
    <w:name w:val="List Paragraph"/>
    <w:basedOn w:val="Normal"/>
    <w:uiPriority w:val="34"/>
    <w:qFormat/>
    <w:rsid w:val="00523CB4"/>
    <w:pPr>
      <w:ind w:left="720"/>
      <w:contextualSpacing/>
    </w:pPr>
    <w:rPr>
      <w:rFonts w:asciiTheme="minorHAnsi" w:hAnsiTheme="minorHAnsi"/>
    </w:rPr>
  </w:style>
  <w:style w:type="character" w:customStyle="1" w:styleId="Titre1Car">
    <w:name w:val="Titre 1 Car"/>
    <w:basedOn w:val="Policepardfaut"/>
    <w:link w:val="Titre1"/>
    <w:uiPriority w:val="9"/>
    <w:rsid w:val="00523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C90C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0CC9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C90C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0CC9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C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80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B4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523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23CB4"/>
    <w:pPr>
      <w:spacing w:after="240"/>
      <w:jc w:val="center"/>
      <w:outlineLvl w:val="1"/>
    </w:pPr>
    <w:rPr>
      <w:rFonts w:ascii="Arial" w:hAnsi="Arial" w:cs="Arial"/>
      <w:color w:val="auto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23CB4"/>
    <w:rPr>
      <w:rFonts w:ascii="Arial" w:eastAsiaTheme="majorEastAsia" w:hAnsi="Arial" w:cs="Arial"/>
      <w:b/>
      <w:bCs/>
      <w:sz w:val="32"/>
      <w:szCs w:val="28"/>
    </w:rPr>
  </w:style>
  <w:style w:type="paragraph" w:styleId="Paragraphedeliste">
    <w:name w:val="List Paragraph"/>
    <w:basedOn w:val="Normal"/>
    <w:uiPriority w:val="34"/>
    <w:qFormat/>
    <w:rsid w:val="00523CB4"/>
    <w:pPr>
      <w:ind w:left="720"/>
      <w:contextualSpacing/>
    </w:pPr>
    <w:rPr>
      <w:rFonts w:asciiTheme="minorHAnsi" w:hAnsiTheme="minorHAnsi"/>
    </w:rPr>
  </w:style>
  <w:style w:type="character" w:customStyle="1" w:styleId="Titre1Car">
    <w:name w:val="Titre 1 Car"/>
    <w:basedOn w:val="Policepardfaut"/>
    <w:link w:val="Titre1"/>
    <w:uiPriority w:val="9"/>
    <w:rsid w:val="00523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C90C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0CC9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C90C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0CC9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C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80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ducation.gouv.qc.ca/references/publications/resultats-de-la-recherche/detail/article/formation-generale-des-adultes-programme-detudes-francisatio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4BC7-9483-42E8-84CE-948D0E83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2016-01-12T16:31:00Z</dcterms:created>
  <dcterms:modified xsi:type="dcterms:W3CDTF">2016-01-12T16:31:00Z</dcterms:modified>
</cp:coreProperties>
</file>